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06C4" w14:textId="77777777" w:rsidR="007B374C" w:rsidRDefault="008C2123">
      <w:pPr>
        <w:jc w:val="center"/>
        <w:rPr>
          <w:sz w:val="22"/>
          <w:szCs w:val="22"/>
        </w:rPr>
      </w:pPr>
      <w:r>
        <w:rPr>
          <w:sz w:val="22"/>
          <w:szCs w:val="22"/>
        </w:rPr>
        <w:t>Republic of North Macedonia</w:t>
      </w:r>
    </w:p>
    <w:p w14:paraId="5634525C" w14:textId="77777777" w:rsidR="007B374C" w:rsidRDefault="008C2123">
      <w:pPr>
        <w:jc w:val="center"/>
        <w:rPr>
          <w:rFonts w:ascii="Times New Roman Bold" w:hAnsi="Times New Roman Bold"/>
          <w:smallCaps/>
          <w:sz w:val="22"/>
          <w:szCs w:val="22"/>
        </w:rPr>
      </w:pPr>
      <w:r>
        <w:rPr>
          <w:sz w:val="22"/>
          <w:szCs w:val="22"/>
        </w:rPr>
        <w:t>Ministry of Transport</w:t>
      </w:r>
    </w:p>
    <w:p w14:paraId="3048865D" w14:textId="77777777" w:rsidR="007B374C" w:rsidRDefault="008C2123">
      <w:pPr>
        <w:pStyle w:val="Heading2"/>
        <w:rPr>
          <w:rFonts w:ascii="Times New Roman" w:hAnsi="Times New Roman"/>
          <w:b w:val="0"/>
          <w:sz w:val="22"/>
          <w:szCs w:val="22"/>
        </w:rPr>
      </w:pPr>
      <w:r>
        <w:rPr>
          <w:rFonts w:ascii="Times New Roman" w:hAnsi="Times New Roman"/>
          <w:b w:val="0"/>
          <w:sz w:val="22"/>
          <w:szCs w:val="22"/>
        </w:rPr>
        <w:t>Western Balkans Trade and Transport Facilitation Project</w:t>
      </w:r>
    </w:p>
    <w:p w14:paraId="695769AF" w14:textId="77777777" w:rsidR="007B374C" w:rsidRDefault="007B374C">
      <w:pPr>
        <w:rPr>
          <w:lang w:eastAsia="en-US"/>
        </w:rPr>
      </w:pPr>
    </w:p>
    <w:p w14:paraId="597E5EDA" w14:textId="763B67BB" w:rsidR="007B374C" w:rsidRDefault="008C2123">
      <w:pPr>
        <w:pStyle w:val="Heading2"/>
        <w:rPr>
          <w:rFonts w:ascii="Times New Roman" w:hAnsi="Times New Roman"/>
          <w:sz w:val="28"/>
          <w:szCs w:val="28"/>
        </w:rPr>
      </w:pPr>
      <w:r>
        <w:rPr>
          <w:rFonts w:ascii="Times New Roman" w:hAnsi="Times New Roman"/>
          <w:sz w:val="28"/>
          <w:szCs w:val="28"/>
        </w:rPr>
        <w:t xml:space="preserve">CLARIFICATION NO. </w:t>
      </w:r>
      <w:r w:rsidR="00AD174F">
        <w:rPr>
          <w:rFonts w:ascii="Times New Roman" w:hAnsi="Times New Roman"/>
          <w:sz w:val="28"/>
          <w:szCs w:val="28"/>
        </w:rPr>
        <w:t>3</w:t>
      </w:r>
      <w:r>
        <w:rPr>
          <w:rFonts w:ascii="Times New Roman" w:hAnsi="Times New Roman"/>
          <w:sz w:val="28"/>
          <w:szCs w:val="28"/>
        </w:rPr>
        <w:t xml:space="preserve"> </w:t>
      </w:r>
    </w:p>
    <w:p w14:paraId="6009A9D5" w14:textId="77777777" w:rsidR="007B374C" w:rsidRDefault="008C2123">
      <w:pPr>
        <w:pStyle w:val="Heading2"/>
        <w:rPr>
          <w:rFonts w:ascii="Times New Roman" w:hAnsi="Times New Roman"/>
          <w:sz w:val="22"/>
          <w:szCs w:val="22"/>
        </w:rPr>
      </w:pPr>
      <w:r>
        <w:rPr>
          <w:rFonts w:ascii="Times New Roman" w:hAnsi="Times New Roman"/>
          <w:sz w:val="22"/>
          <w:szCs w:val="22"/>
        </w:rPr>
        <w:t>To the Request for Proposals for the procurement of</w:t>
      </w:r>
    </w:p>
    <w:p w14:paraId="6DC54C02" w14:textId="77777777" w:rsidR="007B374C" w:rsidRDefault="008C2123">
      <w:pPr>
        <w:pStyle w:val="Heading2"/>
        <w:rPr>
          <w:rFonts w:ascii="Times New Roman" w:hAnsi="Times New Roman"/>
          <w:sz w:val="22"/>
          <w:szCs w:val="22"/>
        </w:rPr>
      </w:pPr>
      <w:r>
        <w:rPr>
          <w:rFonts w:ascii="Times New Roman" w:hAnsi="Times New Roman"/>
          <w:sz w:val="22"/>
          <w:szCs w:val="22"/>
        </w:rPr>
        <w:t>Design, Supply and Installation of the New Single Window (NSW) System in North Macedonia</w:t>
      </w:r>
    </w:p>
    <w:p w14:paraId="4501DDB1" w14:textId="77777777" w:rsidR="007B374C" w:rsidRDefault="007B374C">
      <w:pPr>
        <w:pStyle w:val="Heading2"/>
        <w:rPr>
          <w:rFonts w:ascii="Times New Roman" w:hAnsi="Times New Roman"/>
          <w:sz w:val="16"/>
          <w:szCs w:val="16"/>
        </w:rPr>
      </w:pPr>
    </w:p>
    <w:p w14:paraId="73A2979B" w14:textId="77777777" w:rsidR="007B374C" w:rsidRDefault="008C2123">
      <w:pPr>
        <w:pStyle w:val="Heading2"/>
        <w:rPr>
          <w:b w:val="0"/>
          <w:sz w:val="22"/>
          <w:szCs w:val="22"/>
        </w:rPr>
      </w:pPr>
      <w:r>
        <w:rPr>
          <w:b w:val="0"/>
          <w:sz w:val="22"/>
          <w:szCs w:val="22"/>
        </w:rPr>
        <w:t>Ref. No.: WBTTFP-8929-MK-112-C-RFP</w:t>
      </w:r>
    </w:p>
    <w:p w14:paraId="3F9EFA03" w14:textId="319DF3EF" w:rsidR="007B374C" w:rsidRDefault="008C2123">
      <w:pPr>
        <w:spacing w:before="120"/>
        <w:jc w:val="center"/>
        <w:rPr>
          <w:b/>
          <w:sz w:val="22"/>
          <w:szCs w:val="22"/>
        </w:rPr>
      </w:pPr>
      <w:proofErr w:type="gramStart"/>
      <w:r>
        <w:rPr>
          <w:sz w:val="22"/>
          <w:szCs w:val="22"/>
        </w:rPr>
        <w:t>Issued on</w:t>
      </w:r>
      <w:proofErr w:type="gramEnd"/>
      <w:r>
        <w:rPr>
          <w:sz w:val="22"/>
          <w:szCs w:val="22"/>
        </w:rPr>
        <w:t xml:space="preserve"> date: </w:t>
      </w:r>
      <w:r w:rsidRPr="009162FC">
        <w:rPr>
          <w:sz w:val="22"/>
          <w:szCs w:val="22"/>
        </w:rPr>
        <w:t>Ju</w:t>
      </w:r>
      <w:r w:rsidR="00E33BD8" w:rsidRPr="009162FC">
        <w:rPr>
          <w:sz w:val="22"/>
          <w:szCs w:val="22"/>
        </w:rPr>
        <w:t>ly</w:t>
      </w:r>
      <w:r w:rsidRPr="009162FC">
        <w:rPr>
          <w:sz w:val="22"/>
          <w:szCs w:val="22"/>
        </w:rPr>
        <w:t xml:space="preserve"> </w:t>
      </w:r>
      <w:r w:rsidR="002E2C8F">
        <w:rPr>
          <w:sz w:val="22"/>
          <w:szCs w:val="22"/>
        </w:rPr>
        <w:t>17</w:t>
      </w:r>
      <w:r w:rsidRPr="009162FC">
        <w:rPr>
          <w:sz w:val="22"/>
          <w:szCs w:val="22"/>
        </w:rPr>
        <w:t>, 2025</w:t>
      </w:r>
    </w:p>
    <w:p w14:paraId="50EA23B9" w14:textId="77777777" w:rsidR="007B374C" w:rsidRDefault="007B374C">
      <w:pPr>
        <w:rPr>
          <w:sz w:val="22"/>
          <w:szCs w:val="22"/>
          <w:lang w:eastAsia="en-US"/>
        </w:rPr>
      </w:pPr>
    </w:p>
    <w:p w14:paraId="416959DB" w14:textId="2A570BBA" w:rsidR="007B374C" w:rsidRDefault="008C2123">
      <w:pPr>
        <w:jc w:val="center"/>
        <w:rPr>
          <w:sz w:val="22"/>
          <w:szCs w:val="22"/>
          <w:lang w:eastAsia="en-US"/>
        </w:rPr>
      </w:pPr>
      <w:r>
        <w:rPr>
          <w:sz w:val="22"/>
          <w:szCs w:val="22"/>
          <w:lang w:eastAsia="en-US"/>
        </w:rPr>
        <w:t>To all prospective Proposers and to all firms that have obtained the RFP documents</w:t>
      </w:r>
      <w:r w:rsidR="006E748B">
        <w:rPr>
          <w:sz w:val="22"/>
          <w:szCs w:val="22"/>
          <w:lang w:eastAsia="en-US"/>
        </w:rPr>
        <w:t>, Clarification 1 and Amendment 1to the RFP</w:t>
      </w:r>
    </w:p>
    <w:p w14:paraId="01A904BF" w14:textId="77777777" w:rsidR="007B374C" w:rsidRDefault="007B374C">
      <w:pPr>
        <w:rPr>
          <w:sz w:val="22"/>
          <w:szCs w:val="22"/>
          <w:lang w:eastAsia="en-US"/>
        </w:rPr>
      </w:pPr>
    </w:p>
    <w:p w14:paraId="4C27D33A" w14:textId="77777777" w:rsidR="007B374C" w:rsidRDefault="008C2123">
      <w:pPr>
        <w:jc w:val="both"/>
        <w:rPr>
          <w:sz w:val="22"/>
          <w:szCs w:val="22"/>
        </w:rPr>
      </w:pPr>
      <w:r>
        <w:rPr>
          <w:sz w:val="22"/>
          <w:szCs w:val="22"/>
        </w:rPr>
        <w:t>Dear All,</w:t>
      </w:r>
    </w:p>
    <w:p w14:paraId="2EDF289F" w14:textId="77777777" w:rsidR="007B374C" w:rsidRDefault="007B374C">
      <w:pPr>
        <w:jc w:val="both"/>
        <w:rPr>
          <w:sz w:val="22"/>
          <w:szCs w:val="22"/>
        </w:rPr>
      </w:pPr>
    </w:p>
    <w:p w14:paraId="422624D1" w14:textId="69A32387" w:rsidR="007B374C" w:rsidRDefault="008C2123">
      <w:pPr>
        <w:jc w:val="both"/>
        <w:rPr>
          <w:sz w:val="22"/>
          <w:szCs w:val="22"/>
        </w:rPr>
      </w:pPr>
      <w:r>
        <w:rPr>
          <w:sz w:val="22"/>
          <w:szCs w:val="22"/>
        </w:rPr>
        <w:t>With reference to the question raised by the prospective Bidders and pursuant to the issued RFB for the stated subject, please find enclosed the Clarification</w:t>
      </w:r>
      <w:r w:rsidR="006E748B">
        <w:rPr>
          <w:sz w:val="22"/>
          <w:szCs w:val="22"/>
        </w:rPr>
        <w:t xml:space="preserve"> </w:t>
      </w:r>
      <w:r w:rsidR="00AD174F">
        <w:rPr>
          <w:sz w:val="22"/>
          <w:szCs w:val="22"/>
        </w:rPr>
        <w:t>3</w:t>
      </w:r>
      <w:r>
        <w:rPr>
          <w:sz w:val="22"/>
          <w:szCs w:val="22"/>
        </w:rPr>
        <w:t xml:space="preserve"> Table below with the questions and answers.</w:t>
      </w:r>
    </w:p>
    <w:p w14:paraId="4C5F4396" w14:textId="77777777" w:rsidR="007B374C" w:rsidRDefault="007B374C"/>
    <w:tbl>
      <w:tblPr>
        <w:tblStyle w:val="TableGrid"/>
        <w:tblW w:w="13608" w:type="dxa"/>
        <w:tblInd w:w="-5" w:type="dxa"/>
        <w:tblLayout w:type="fixed"/>
        <w:tblLook w:val="04A0" w:firstRow="1" w:lastRow="0" w:firstColumn="1" w:lastColumn="0" w:noHBand="0" w:noVBand="1"/>
      </w:tblPr>
      <w:tblGrid>
        <w:gridCol w:w="630"/>
        <w:gridCol w:w="5040"/>
        <w:gridCol w:w="1276"/>
        <w:gridCol w:w="545"/>
        <w:gridCol w:w="4541"/>
        <w:gridCol w:w="1576"/>
      </w:tblGrid>
      <w:tr w:rsidR="007B374C" w14:paraId="7DF46A2F" w14:textId="77777777">
        <w:trPr>
          <w:trHeight w:val="510"/>
        </w:trPr>
        <w:tc>
          <w:tcPr>
            <w:tcW w:w="13608" w:type="dxa"/>
            <w:gridSpan w:val="6"/>
            <w:tcBorders>
              <w:top w:val="single" w:sz="4" w:space="0" w:color="auto"/>
              <w:left w:val="single" w:sz="4" w:space="0" w:color="auto"/>
              <w:bottom w:val="single" w:sz="4" w:space="0" w:color="auto"/>
              <w:right w:val="single" w:sz="4" w:space="0" w:color="auto"/>
            </w:tcBorders>
          </w:tcPr>
          <w:p w14:paraId="7DB0AD47" w14:textId="77777777" w:rsidR="007B374C" w:rsidRDefault="008C2123">
            <w:pPr>
              <w:spacing w:before="120"/>
              <w:jc w:val="center"/>
              <w:rPr>
                <w:b/>
                <w:i/>
                <w:sz w:val="22"/>
                <w:szCs w:val="22"/>
              </w:rPr>
            </w:pPr>
            <w:r>
              <w:rPr>
                <w:b/>
                <w:i/>
                <w:sz w:val="22"/>
                <w:szCs w:val="22"/>
              </w:rPr>
              <w:t>CLARIFICATION TABLE</w:t>
            </w:r>
          </w:p>
        </w:tc>
      </w:tr>
      <w:tr w:rsidR="007B374C" w14:paraId="6079F6C8" w14:textId="77777777">
        <w:trPr>
          <w:trHeight w:val="791"/>
        </w:trPr>
        <w:tc>
          <w:tcPr>
            <w:tcW w:w="630" w:type="dxa"/>
            <w:tcBorders>
              <w:top w:val="single" w:sz="4" w:space="0" w:color="auto"/>
              <w:bottom w:val="single" w:sz="4" w:space="0" w:color="auto"/>
            </w:tcBorders>
          </w:tcPr>
          <w:p w14:paraId="249A94C5" w14:textId="77777777" w:rsidR="007B374C" w:rsidRDefault="008C2123">
            <w:pPr>
              <w:rPr>
                <w:sz w:val="22"/>
                <w:szCs w:val="22"/>
              </w:rPr>
            </w:pPr>
            <w:r>
              <w:rPr>
                <w:b/>
                <w:sz w:val="18"/>
                <w:szCs w:val="18"/>
              </w:rPr>
              <w:t>No. of Question</w:t>
            </w:r>
          </w:p>
        </w:tc>
        <w:tc>
          <w:tcPr>
            <w:tcW w:w="5040" w:type="dxa"/>
            <w:tcBorders>
              <w:top w:val="single" w:sz="4" w:space="0" w:color="auto"/>
              <w:bottom w:val="single" w:sz="4" w:space="0" w:color="auto"/>
            </w:tcBorders>
          </w:tcPr>
          <w:p w14:paraId="594A219B" w14:textId="77777777" w:rsidR="007B374C" w:rsidRDefault="008C2123">
            <w:pPr>
              <w:jc w:val="both"/>
              <w:rPr>
                <w:b/>
                <w:sz w:val="22"/>
                <w:szCs w:val="22"/>
              </w:rPr>
            </w:pPr>
            <w:r>
              <w:rPr>
                <w:b/>
                <w:sz w:val="22"/>
                <w:szCs w:val="22"/>
              </w:rPr>
              <w:t>Question</w:t>
            </w:r>
          </w:p>
        </w:tc>
        <w:tc>
          <w:tcPr>
            <w:tcW w:w="1276" w:type="dxa"/>
            <w:tcBorders>
              <w:top w:val="single" w:sz="4" w:space="0" w:color="auto"/>
              <w:bottom w:val="single" w:sz="4" w:space="0" w:color="auto"/>
            </w:tcBorders>
          </w:tcPr>
          <w:p w14:paraId="0BF8218F" w14:textId="77777777" w:rsidR="007B374C" w:rsidRDefault="008C2123">
            <w:pPr>
              <w:rPr>
                <w:b/>
                <w:bCs/>
                <w:sz w:val="22"/>
                <w:szCs w:val="22"/>
              </w:rPr>
            </w:pPr>
            <w:r>
              <w:rPr>
                <w:b/>
                <w:bCs/>
                <w:sz w:val="22"/>
                <w:szCs w:val="22"/>
              </w:rPr>
              <w:t>Ref. to the BD (RFP)</w:t>
            </w:r>
          </w:p>
          <w:p w14:paraId="492C3427" w14:textId="77777777" w:rsidR="007B374C" w:rsidRDefault="007B374C">
            <w:pPr>
              <w:rPr>
                <w:bCs/>
                <w:sz w:val="22"/>
                <w:szCs w:val="22"/>
              </w:rPr>
            </w:pPr>
          </w:p>
        </w:tc>
        <w:tc>
          <w:tcPr>
            <w:tcW w:w="545" w:type="dxa"/>
            <w:tcBorders>
              <w:top w:val="single" w:sz="4" w:space="0" w:color="auto"/>
              <w:bottom w:val="single" w:sz="4" w:space="0" w:color="auto"/>
            </w:tcBorders>
          </w:tcPr>
          <w:p w14:paraId="3FD9A7C4" w14:textId="77777777" w:rsidR="007B374C" w:rsidRDefault="008C2123">
            <w:pPr>
              <w:rPr>
                <w:sz w:val="22"/>
                <w:szCs w:val="22"/>
              </w:rPr>
            </w:pPr>
            <w:r>
              <w:rPr>
                <w:b/>
                <w:sz w:val="18"/>
                <w:szCs w:val="18"/>
              </w:rPr>
              <w:t>No. of Answer</w:t>
            </w:r>
          </w:p>
        </w:tc>
        <w:tc>
          <w:tcPr>
            <w:tcW w:w="4541" w:type="dxa"/>
            <w:tcBorders>
              <w:top w:val="single" w:sz="4" w:space="0" w:color="auto"/>
              <w:bottom w:val="single" w:sz="4" w:space="0" w:color="auto"/>
            </w:tcBorders>
          </w:tcPr>
          <w:p w14:paraId="1C05DDC0" w14:textId="77777777" w:rsidR="007B374C" w:rsidRDefault="008C2123">
            <w:pPr>
              <w:jc w:val="both"/>
              <w:rPr>
                <w:b/>
                <w:sz w:val="22"/>
                <w:szCs w:val="22"/>
              </w:rPr>
            </w:pPr>
            <w:r>
              <w:rPr>
                <w:b/>
                <w:sz w:val="22"/>
                <w:szCs w:val="22"/>
              </w:rPr>
              <w:t>Answer</w:t>
            </w:r>
          </w:p>
        </w:tc>
        <w:tc>
          <w:tcPr>
            <w:tcW w:w="1576" w:type="dxa"/>
            <w:tcBorders>
              <w:top w:val="single" w:sz="4" w:space="0" w:color="auto"/>
              <w:bottom w:val="single" w:sz="4" w:space="0" w:color="auto"/>
            </w:tcBorders>
          </w:tcPr>
          <w:p w14:paraId="2818D688" w14:textId="77777777" w:rsidR="007B374C" w:rsidRDefault="008C2123">
            <w:pPr>
              <w:rPr>
                <w:b/>
                <w:sz w:val="22"/>
                <w:szCs w:val="22"/>
              </w:rPr>
            </w:pPr>
            <w:r>
              <w:rPr>
                <w:b/>
                <w:sz w:val="22"/>
                <w:szCs w:val="22"/>
              </w:rPr>
              <w:t>Category:</w:t>
            </w:r>
          </w:p>
          <w:p w14:paraId="5BEAF9B2" w14:textId="77777777" w:rsidR="007B374C" w:rsidRDefault="008C2123">
            <w:pPr>
              <w:rPr>
                <w:sz w:val="22"/>
                <w:szCs w:val="22"/>
              </w:rPr>
            </w:pPr>
            <w:r>
              <w:rPr>
                <w:b/>
                <w:sz w:val="22"/>
                <w:szCs w:val="22"/>
              </w:rPr>
              <w:t>Clarification or Amendment</w:t>
            </w:r>
          </w:p>
        </w:tc>
      </w:tr>
      <w:tr w:rsidR="00AA5605" w14:paraId="2B463A8C" w14:textId="77777777">
        <w:trPr>
          <w:trHeight w:val="416"/>
        </w:trPr>
        <w:tc>
          <w:tcPr>
            <w:tcW w:w="630" w:type="dxa"/>
            <w:tcBorders>
              <w:top w:val="single" w:sz="4" w:space="0" w:color="auto"/>
              <w:bottom w:val="single" w:sz="4" w:space="0" w:color="auto"/>
            </w:tcBorders>
          </w:tcPr>
          <w:p w14:paraId="41FD3DAF" w14:textId="0D16F8E6" w:rsidR="00AA5605" w:rsidRDefault="00AA5605" w:rsidP="00AA5605">
            <w:pPr>
              <w:rPr>
                <w:sz w:val="22"/>
                <w:szCs w:val="22"/>
              </w:rPr>
            </w:pPr>
            <w:r>
              <w:rPr>
                <w:sz w:val="22"/>
                <w:szCs w:val="22"/>
              </w:rPr>
              <w:t>63</w:t>
            </w:r>
          </w:p>
        </w:tc>
        <w:tc>
          <w:tcPr>
            <w:tcW w:w="5040" w:type="dxa"/>
            <w:tcBorders>
              <w:top w:val="single" w:sz="4" w:space="0" w:color="auto"/>
              <w:bottom w:val="single" w:sz="4" w:space="0" w:color="auto"/>
            </w:tcBorders>
          </w:tcPr>
          <w:p w14:paraId="24801054" w14:textId="74B768DD" w:rsidR="00AA5605" w:rsidRDefault="00AA5605" w:rsidP="00AA5605">
            <w:pPr>
              <w:jc w:val="both"/>
              <w:rPr>
                <w:bCs/>
                <w:sz w:val="20"/>
                <w:szCs w:val="20"/>
              </w:rPr>
            </w:pPr>
            <w:r>
              <w:rPr>
                <w:bCs/>
                <w:sz w:val="20"/>
                <w:szCs w:val="20"/>
              </w:rPr>
              <w:t xml:space="preserve">Q: </w:t>
            </w:r>
            <w:r w:rsidRPr="005629C3">
              <w:rPr>
                <w:bCs/>
                <w:sz w:val="20"/>
                <w:szCs w:val="20"/>
              </w:rPr>
              <w:t>Please specify in number of months the required length of a Manufacturer's Support Service Duration (software update license &amp; support) for the licenses in item 1.14. Software license RDBMS.</w:t>
            </w:r>
          </w:p>
        </w:tc>
        <w:tc>
          <w:tcPr>
            <w:tcW w:w="1276" w:type="dxa"/>
            <w:tcBorders>
              <w:top w:val="single" w:sz="4" w:space="0" w:color="auto"/>
              <w:bottom w:val="single" w:sz="4" w:space="0" w:color="auto"/>
            </w:tcBorders>
          </w:tcPr>
          <w:p w14:paraId="16F33B4B" w14:textId="6799B039" w:rsidR="00AA5605" w:rsidRDefault="00AA5605" w:rsidP="00AA5605">
            <w:pPr>
              <w:rPr>
                <w:bCs/>
                <w:sz w:val="18"/>
                <w:szCs w:val="18"/>
              </w:rPr>
            </w:pPr>
            <w:r>
              <w:rPr>
                <w:bCs/>
                <w:sz w:val="18"/>
                <w:szCs w:val="18"/>
              </w:rPr>
              <w:t xml:space="preserve">RFP – Section VII - </w:t>
            </w:r>
            <w:r w:rsidRPr="00A826C5">
              <w:rPr>
                <w:bCs/>
                <w:sz w:val="18"/>
                <w:szCs w:val="18"/>
              </w:rPr>
              <w:t>Requirements of the Information System</w:t>
            </w:r>
          </w:p>
        </w:tc>
        <w:tc>
          <w:tcPr>
            <w:tcW w:w="545" w:type="dxa"/>
            <w:tcBorders>
              <w:top w:val="single" w:sz="4" w:space="0" w:color="auto"/>
              <w:bottom w:val="single" w:sz="4" w:space="0" w:color="auto"/>
            </w:tcBorders>
          </w:tcPr>
          <w:p w14:paraId="0C3668B7" w14:textId="214A14EF" w:rsidR="00AA5605" w:rsidRDefault="00AA5605" w:rsidP="00AA5605">
            <w:pPr>
              <w:rPr>
                <w:sz w:val="22"/>
                <w:szCs w:val="22"/>
              </w:rPr>
            </w:pPr>
            <w:r>
              <w:rPr>
                <w:sz w:val="22"/>
                <w:szCs w:val="22"/>
              </w:rPr>
              <w:t>63</w:t>
            </w:r>
          </w:p>
        </w:tc>
        <w:tc>
          <w:tcPr>
            <w:tcW w:w="4541" w:type="dxa"/>
            <w:tcBorders>
              <w:top w:val="single" w:sz="4" w:space="0" w:color="auto"/>
              <w:bottom w:val="single" w:sz="4" w:space="0" w:color="auto"/>
            </w:tcBorders>
          </w:tcPr>
          <w:p w14:paraId="41DFFC61" w14:textId="1AAD67E1" w:rsidR="00AA5605" w:rsidRPr="00197A28" w:rsidRDefault="00AA5605" w:rsidP="00AA5605">
            <w:pPr>
              <w:jc w:val="both"/>
              <w:rPr>
                <w:bCs/>
                <w:sz w:val="20"/>
                <w:szCs w:val="20"/>
              </w:rPr>
            </w:pPr>
            <w:r w:rsidRPr="00197A28">
              <w:rPr>
                <w:bCs/>
                <w:sz w:val="20"/>
                <w:szCs w:val="20"/>
              </w:rPr>
              <w:t>A:</w:t>
            </w:r>
          </w:p>
          <w:p w14:paraId="1E2C3EF6" w14:textId="7940DF44" w:rsidR="00AA5605" w:rsidRPr="00197A28" w:rsidRDefault="00AA5605" w:rsidP="00AA5605">
            <w:pPr>
              <w:jc w:val="both"/>
              <w:rPr>
                <w:bCs/>
                <w:sz w:val="20"/>
                <w:szCs w:val="20"/>
              </w:rPr>
            </w:pPr>
            <w:r w:rsidRPr="00197A28">
              <w:rPr>
                <w:bCs/>
                <w:sz w:val="20"/>
                <w:szCs w:val="20"/>
              </w:rPr>
              <w:t xml:space="preserve">As outlined in Section VII, A. Implementation Schedule Table, </w:t>
            </w:r>
            <w:proofErr w:type="gramStart"/>
            <w:r w:rsidRPr="00197A28">
              <w:rPr>
                <w:bCs/>
                <w:sz w:val="20"/>
                <w:szCs w:val="20"/>
              </w:rPr>
              <w:t>line item</w:t>
            </w:r>
            <w:proofErr w:type="gramEnd"/>
            <w:r w:rsidRPr="00197A28">
              <w:rPr>
                <w:bCs/>
                <w:sz w:val="20"/>
                <w:szCs w:val="20"/>
              </w:rPr>
              <w:t xml:space="preserve"> No. 6 (Hardware Environment Readiness) states the following requirement:</w:t>
            </w:r>
          </w:p>
          <w:p w14:paraId="22782B3A" w14:textId="77777777" w:rsidR="00AA5605" w:rsidRPr="00197A28" w:rsidRDefault="00AA5605" w:rsidP="00AA5605">
            <w:pPr>
              <w:jc w:val="both"/>
              <w:rPr>
                <w:bCs/>
                <w:sz w:val="20"/>
                <w:szCs w:val="20"/>
              </w:rPr>
            </w:pPr>
            <w:r w:rsidRPr="00197A28">
              <w:rPr>
                <w:bCs/>
                <w:sz w:val="20"/>
                <w:szCs w:val="20"/>
              </w:rPr>
              <w:t>"Software License – RDBMS Type 1 and Type 2 to be delivered latest one (1) month prior to the commencement of item number 4, as per the Implementation Schedule."</w:t>
            </w:r>
          </w:p>
          <w:p w14:paraId="7CF476B9" w14:textId="5AD89946" w:rsidR="00AA5605" w:rsidRPr="00197A28" w:rsidRDefault="00AA5605" w:rsidP="00AA5605">
            <w:pPr>
              <w:jc w:val="both"/>
              <w:rPr>
                <w:bCs/>
                <w:sz w:val="20"/>
                <w:szCs w:val="20"/>
              </w:rPr>
            </w:pPr>
            <w:r w:rsidRPr="00197A28">
              <w:rPr>
                <w:bCs/>
                <w:sz w:val="20"/>
                <w:szCs w:val="20"/>
              </w:rPr>
              <w:t xml:space="preserve">According to the schedule, </w:t>
            </w:r>
            <w:proofErr w:type="gramStart"/>
            <w:r w:rsidRPr="00197A28">
              <w:rPr>
                <w:bCs/>
                <w:sz w:val="20"/>
                <w:szCs w:val="20"/>
              </w:rPr>
              <w:t>line item</w:t>
            </w:r>
            <w:proofErr w:type="gramEnd"/>
            <w:r w:rsidRPr="00197A28">
              <w:rPr>
                <w:bCs/>
                <w:sz w:val="20"/>
                <w:szCs w:val="20"/>
              </w:rPr>
              <w:t xml:space="preserve"> No. 4 is planned to commence on Week 49 (W49). Therefore, the delivery of the RDBMS licenses must be completed no later than Week 45 (W45). Additionally, the same </w:t>
            </w:r>
            <w:r w:rsidRPr="00197A28">
              <w:rPr>
                <w:bCs/>
                <w:sz w:val="20"/>
                <w:szCs w:val="20"/>
              </w:rPr>
              <w:lastRenderedPageBreak/>
              <w:t>section confirms that the licenses must include support coverage up to the end of the contract period, which is W104, as stated in the implementation schedule:</w:t>
            </w:r>
          </w:p>
          <w:p w14:paraId="497BA50C" w14:textId="77777777" w:rsidR="00AA5605" w:rsidRPr="00197A28" w:rsidRDefault="00AA5605" w:rsidP="00AA5605">
            <w:pPr>
              <w:jc w:val="both"/>
              <w:rPr>
                <w:bCs/>
                <w:sz w:val="20"/>
                <w:szCs w:val="20"/>
              </w:rPr>
            </w:pPr>
            <w:r w:rsidRPr="00197A28">
              <w:rPr>
                <w:bCs/>
                <w:sz w:val="20"/>
                <w:szCs w:val="20"/>
              </w:rPr>
              <w:t>"Licenses must cover the support up to the end of Contract."</w:t>
            </w:r>
          </w:p>
          <w:p w14:paraId="32B962FA" w14:textId="2777915B" w:rsidR="00AA5605" w:rsidRPr="00197A28" w:rsidRDefault="00AA5605" w:rsidP="00AA5605">
            <w:pPr>
              <w:jc w:val="both"/>
              <w:rPr>
                <w:bCs/>
                <w:sz w:val="20"/>
                <w:szCs w:val="20"/>
              </w:rPr>
            </w:pPr>
            <w:r w:rsidRPr="00197A28">
              <w:rPr>
                <w:bCs/>
                <w:sz w:val="20"/>
                <w:szCs w:val="20"/>
              </w:rPr>
              <w:t>The number of months for software update license &amp; support for the licenses as per item 1.14. Software license RDBMS is 13.5 months.</w:t>
            </w:r>
          </w:p>
          <w:p w14:paraId="6286B02D" w14:textId="77777777" w:rsidR="00AA5605" w:rsidRPr="00197A28" w:rsidRDefault="00AA5605" w:rsidP="00AA5605">
            <w:pPr>
              <w:jc w:val="both"/>
              <w:rPr>
                <w:bCs/>
                <w:sz w:val="20"/>
                <w:szCs w:val="20"/>
              </w:rPr>
            </w:pPr>
          </w:p>
          <w:p w14:paraId="1E5BFE5D" w14:textId="2C5ED925" w:rsidR="00AA5605" w:rsidRPr="00197A28" w:rsidRDefault="00AA5605" w:rsidP="00AA5605">
            <w:pPr>
              <w:jc w:val="both"/>
              <w:rPr>
                <w:bCs/>
                <w:sz w:val="20"/>
                <w:szCs w:val="20"/>
              </w:rPr>
            </w:pPr>
            <w:r w:rsidRPr="00197A28">
              <w:rPr>
                <w:bCs/>
                <w:sz w:val="20"/>
                <w:szCs w:val="20"/>
              </w:rPr>
              <w:t>Also, please see Clarification 1 – Q/A 15 and Q/A 28</w:t>
            </w:r>
          </w:p>
        </w:tc>
        <w:tc>
          <w:tcPr>
            <w:tcW w:w="1576" w:type="dxa"/>
            <w:tcBorders>
              <w:top w:val="single" w:sz="4" w:space="0" w:color="auto"/>
              <w:bottom w:val="single" w:sz="4" w:space="0" w:color="auto"/>
            </w:tcBorders>
          </w:tcPr>
          <w:p w14:paraId="4A39ED02" w14:textId="77777777" w:rsidR="00AA5605" w:rsidRDefault="00AA5605" w:rsidP="00AA5605">
            <w:pPr>
              <w:rPr>
                <w:sz w:val="22"/>
                <w:szCs w:val="22"/>
              </w:rPr>
            </w:pPr>
            <w:r>
              <w:rPr>
                <w:sz w:val="22"/>
                <w:szCs w:val="22"/>
              </w:rPr>
              <w:lastRenderedPageBreak/>
              <w:t>Clarification</w:t>
            </w:r>
          </w:p>
        </w:tc>
      </w:tr>
      <w:tr w:rsidR="00C95672" w14:paraId="6D71B4E5" w14:textId="77777777">
        <w:trPr>
          <w:trHeight w:val="791"/>
        </w:trPr>
        <w:tc>
          <w:tcPr>
            <w:tcW w:w="630" w:type="dxa"/>
            <w:tcBorders>
              <w:top w:val="single" w:sz="4" w:space="0" w:color="auto"/>
              <w:bottom w:val="single" w:sz="4" w:space="0" w:color="auto"/>
            </w:tcBorders>
          </w:tcPr>
          <w:p w14:paraId="4040D803" w14:textId="2745F71E" w:rsidR="00C95672" w:rsidRDefault="00AD174F" w:rsidP="00C95672">
            <w:pPr>
              <w:rPr>
                <w:sz w:val="22"/>
                <w:szCs w:val="22"/>
              </w:rPr>
            </w:pPr>
            <w:r>
              <w:rPr>
                <w:sz w:val="22"/>
                <w:szCs w:val="22"/>
              </w:rPr>
              <w:t>64</w:t>
            </w:r>
          </w:p>
        </w:tc>
        <w:tc>
          <w:tcPr>
            <w:tcW w:w="5040" w:type="dxa"/>
            <w:tcBorders>
              <w:top w:val="single" w:sz="4" w:space="0" w:color="auto"/>
              <w:bottom w:val="single" w:sz="4" w:space="0" w:color="auto"/>
            </w:tcBorders>
          </w:tcPr>
          <w:p w14:paraId="70AFC19C" w14:textId="77777777" w:rsidR="005629C3" w:rsidRPr="005629C3" w:rsidRDefault="005629C3" w:rsidP="005629C3">
            <w:pPr>
              <w:jc w:val="both"/>
              <w:rPr>
                <w:bCs/>
                <w:sz w:val="20"/>
                <w:szCs w:val="20"/>
              </w:rPr>
            </w:pPr>
            <w:r w:rsidRPr="005629C3">
              <w:rPr>
                <w:bCs/>
                <w:sz w:val="20"/>
                <w:szCs w:val="20"/>
              </w:rPr>
              <w:t xml:space="preserve">Network Out-of-Band Management (OOBM) switch </w:t>
            </w:r>
          </w:p>
          <w:p w14:paraId="21A360A8" w14:textId="77777777" w:rsidR="005629C3" w:rsidRPr="005629C3" w:rsidRDefault="005629C3" w:rsidP="005629C3">
            <w:pPr>
              <w:jc w:val="both"/>
              <w:rPr>
                <w:bCs/>
                <w:sz w:val="20"/>
                <w:szCs w:val="20"/>
              </w:rPr>
            </w:pPr>
            <w:r w:rsidRPr="005629C3">
              <w:rPr>
                <w:bCs/>
                <w:sz w:val="20"/>
                <w:szCs w:val="20"/>
              </w:rPr>
              <w:t>Maximum latency: up to 1 µs</w:t>
            </w:r>
          </w:p>
          <w:p w14:paraId="4EC92D5A" w14:textId="13BFBE90" w:rsidR="00C95672" w:rsidRDefault="005629C3" w:rsidP="005629C3">
            <w:pPr>
              <w:jc w:val="both"/>
              <w:rPr>
                <w:bCs/>
                <w:sz w:val="20"/>
                <w:szCs w:val="20"/>
              </w:rPr>
            </w:pPr>
            <w:r w:rsidRPr="005629C3">
              <w:rPr>
                <w:bCs/>
                <w:sz w:val="20"/>
                <w:szCs w:val="20"/>
              </w:rPr>
              <w:t xml:space="preserve">Q: With reference to the stated maximum latency of 1 µs, we kindly ask you to confirm whether this is a strict requirement, or if a slightly higher </w:t>
            </w:r>
            <w:proofErr w:type="gramStart"/>
            <w:r w:rsidRPr="005629C3">
              <w:rPr>
                <w:bCs/>
                <w:sz w:val="20"/>
                <w:szCs w:val="20"/>
              </w:rPr>
              <w:t>latency  may</w:t>
            </w:r>
            <w:proofErr w:type="gramEnd"/>
            <w:r w:rsidRPr="005629C3">
              <w:rPr>
                <w:bCs/>
                <w:sz w:val="20"/>
                <w:szCs w:val="20"/>
              </w:rPr>
              <w:t xml:space="preserve"> still be acceptable within operational tolerances?</w:t>
            </w:r>
          </w:p>
        </w:tc>
        <w:tc>
          <w:tcPr>
            <w:tcW w:w="1276" w:type="dxa"/>
            <w:tcBorders>
              <w:top w:val="single" w:sz="4" w:space="0" w:color="auto"/>
              <w:bottom w:val="single" w:sz="4" w:space="0" w:color="auto"/>
            </w:tcBorders>
          </w:tcPr>
          <w:p w14:paraId="553BC30E" w14:textId="5F8D43FB" w:rsidR="00C95672" w:rsidRDefault="00C95672" w:rsidP="00C95672">
            <w:pPr>
              <w:rPr>
                <w:bCs/>
                <w:sz w:val="18"/>
                <w:szCs w:val="18"/>
              </w:rPr>
            </w:pPr>
            <w:r>
              <w:rPr>
                <w:bCs/>
                <w:sz w:val="18"/>
                <w:szCs w:val="18"/>
              </w:rPr>
              <w:t xml:space="preserve">RFP – Section VII - </w:t>
            </w:r>
            <w:r w:rsidRPr="00A826C5">
              <w:rPr>
                <w:bCs/>
                <w:sz w:val="18"/>
                <w:szCs w:val="18"/>
              </w:rPr>
              <w:t>Requirements of the Information System</w:t>
            </w:r>
          </w:p>
        </w:tc>
        <w:tc>
          <w:tcPr>
            <w:tcW w:w="545" w:type="dxa"/>
            <w:tcBorders>
              <w:top w:val="single" w:sz="4" w:space="0" w:color="auto"/>
              <w:bottom w:val="single" w:sz="4" w:space="0" w:color="auto"/>
            </w:tcBorders>
          </w:tcPr>
          <w:p w14:paraId="70B6E173" w14:textId="10E49A02" w:rsidR="00C95672" w:rsidRDefault="00AD174F" w:rsidP="00C95672">
            <w:pPr>
              <w:rPr>
                <w:sz w:val="22"/>
                <w:szCs w:val="22"/>
              </w:rPr>
            </w:pPr>
            <w:r>
              <w:rPr>
                <w:sz w:val="22"/>
                <w:szCs w:val="22"/>
              </w:rPr>
              <w:t>64</w:t>
            </w:r>
          </w:p>
        </w:tc>
        <w:tc>
          <w:tcPr>
            <w:tcW w:w="4541" w:type="dxa"/>
            <w:tcBorders>
              <w:top w:val="single" w:sz="4" w:space="0" w:color="auto"/>
              <w:bottom w:val="single" w:sz="4" w:space="0" w:color="auto"/>
            </w:tcBorders>
          </w:tcPr>
          <w:p w14:paraId="42C12275" w14:textId="77777777" w:rsidR="002566FD" w:rsidRPr="00197A28" w:rsidRDefault="00E86F27" w:rsidP="00C95672">
            <w:pPr>
              <w:jc w:val="both"/>
              <w:rPr>
                <w:bCs/>
                <w:sz w:val="20"/>
                <w:szCs w:val="20"/>
              </w:rPr>
            </w:pPr>
            <w:r w:rsidRPr="00197A28">
              <w:rPr>
                <w:bCs/>
                <w:sz w:val="20"/>
                <w:szCs w:val="20"/>
              </w:rPr>
              <w:t>A:</w:t>
            </w:r>
          </w:p>
          <w:p w14:paraId="32F3F22A" w14:textId="53857AB4" w:rsidR="007F6CFE" w:rsidRPr="00197A28" w:rsidRDefault="00E86F27" w:rsidP="00C95672">
            <w:pPr>
              <w:jc w:val="both"/>
              <w:rPr>
                <w:bCs/>
                <w:sz w:val="20"/>
                <w:szCs w:val="20"/>
              </w:rPr>
            </w:pPr>
            <w:r w:rsidRPr="00197A28">
              <w:rPr>
                <w:bCs/>
                <w:sz w:val="20"/>
                <w:szCs w:val="20"/>
              </w:rPr>
              <w:t>These are Datacenter switches we need for higher network speeds and performance, thus the maximum latency should be up to 1 µs.</w:t>
            </w:r>
          </w:p>
        </w:tc>
        <w:tc>
          <w:tcPr>
            <w:tcW w:w="1576" w:type="dxa"/>
            <w:tcBorders>
              <w:top w:val="single" w:sz="4" w:space="0" w:color="auto"/>
              <w:bottom w:val="single" w:sz="4" w:space="0" w:color="auto"/>
            </w:tcBorders>
          </w:tcPr>
          <w:p w14:paraId="539DF2A0" w14:textId="77777777" w:rsidR="00C95672" w:rsidRDefault="00C95672" w:rsidP="00C95672">
            <w:pPr>
              <w:rPr>
                <w:sz w:val="22"/>
                <w:szCs w:val="22"/>
              </w:rPr>
            </w:pPr>
            <w:r>
              <w:rPr>
                <w:sz w:val="22"/>
                <w:szCs w:val="22"/>
              </w:rPr>
              <w:t>Clarification</w:t>
            </w:r>
          </w:p>
        </w:tc>
      </w:tr>
      <w:tr w:rsidR="00AA5605" w14:paraId="73629879" w14:textId="77777777">
        <w:trPr>
          <w:trHeight w:val="791"/>
        </w:trPr>
        <w:tc>
          <w:tcPr>
            <w:tcW w:w="630" w:type="dxa"/>
            <w:tcBorders>
              <w:top w:val="single" w:sz="4" w:space="0" w:color="auto"/>
              <w:bottom w:val="single" w:sz="4" w:space="0" w:color="auto"/>
            </w:tcBorders>
          </w:tcPr>
          <w:p w14:paraId="3E35AE0D" w14:textId="061D4893" w:rsidR="00AA5605" w:rsidRDefault="00AA5605" w:rsidP="00AA5605">
            <w:pPr>
              <w:rPr>
                <w:sz w:val="22"/>
                <w:szCs w:val="22"/>
              </w:rPr>
            </w:pPr>
            <w:r>
              <w:rPr>
                <w:sz w:val="22"/>
                <w:szCs w:val="22"/>
              </w:rPr>
              <w:t>65</w:t>
            </w:r>
          </w:p>
        </w:tc>
        <w:tc>
          <w:tcPr>
            <w:tcW w:w="5040" w:type="dxa"/>
            <w:tcBorders>
              <w:top w:val="single" w:sz="4" w:space="0" w:color="auto"/>
              <w:bottom w:val="single" w:sz="4" w:space="0" w:color="auto"/>
            </w:tcBorders>
          </w:tcPr>
          <w:p w14:paraId="6FE649FA" w14:textId="18EA1772" w:rsidR="00AA5605" w:rsidRPr="005629C3" w:rsidRDefault="00AA5605" w:rsidP="00AA5605">
            <w:pPr>
              <w:jc w:val="both"/>
              <w:rPr>
                <w:bCs/>
                <w:sz w:val="20"/>
                <w:szCs w:val="20"/>
              </w:rPr>
            </w:pPr>
            <w:r w:rsidRPr="005629C3">
              <w:rPr>
                <w:bCs/>
                <w:sz w:val="20"/>
                <w:szCs w:val="20"/>
              </w:rPr>
              <w:t xml:space="preserve">In the following sections of the RFP and in Clarification No. 1, it is stated that: </w:t>
            </w:r>
          </w:p>
          <w:p w14:paraId="4ED5B9F7" w14:textId="6E7FFC17" w:rsidR="00AA5605" w:rsidRPr="005629C3" w:rsidRDefault="00AA5605" w:rsidP="00AA5605">
            <w:pPr>
              <w:jc w:val="both"/>
              <w:rPr>
                <w:bCs/>
                <w:sz w:val="20"/>
                <w:szCs w:val="20"/>
              </w:rPr>
            </w:pPr>
            <w:r w:rsidRPr="005629C3">
              <w:rPr>
                <w:bCs/>
                <w:sz w:val="20"/>
                <w:szCs w:val="20"/>
              </w:rPr>
              <w:tab/>
            </w:r>
            <w:r w:rsidRPr="005629C3">
              <w:rPr>
                <w:b/>
                <w:sz w:val="20"/>
                <w:szCs w:val="20"/>
              </w:rPr>
              <w:t>a</w:t>
            </w:r>
            <w:r w:rsidRPr="005629C3">
              <w:rPr>
                <w:bCs/>
                <w:sz w:val="20"/>
                <w:szCs w:val="20"/>
              </w:rPr>
              <w:t>) In RFP Section: On page iii, it is mentioned: “The delivery period for Design, Supply and Installation of the New Single Window (NSW) System is 104 weeks (</w:t>
            </w:r>
            <w:proofErr w:type="gramStart"/>
            <w:r w:rsidRPr="005629C3">
              <w:rPr>
                <w:bCs/>
                <w:sz w:val="20"/>
                <w:szCs w:val="20"/>
              </w:rPr>
              <w:t>24 month</w:t>
            </w:r>
            <w:proofErr w:type="gramEnd"/>
            <w:r w:rsidRPr="005629C3">
              <w:rPr>
                <w:bCs/>
                <w:sz w:val="20"/>
                <w:szCs w:val="20"/>
              </w:rPr>
              <w:t xml:space="preserve"> s)” </w:t>
            </w:r>
          </w:p>
          <w:p w14:paraId="1B8224EB" w14:textId="21F2C3E8" w:rsidR="00AA5605" w:rsidRPr="005629C3" w:rsidRDefault="00AA5605" w:rsidP="00AA5605">
            <w:pPr>
              <w:jc w:val="both"/>
              <w:rPr>
                <w:bCs/>
                <w:sz w:val="20"/>
                <w:szCs w:val="20"/>
              </w:rPr>
            </w:pPr>
            <w:r w:rsidRPr="005629C3">
              <w:rPr>
                <w:bCs/>
                <w:sz w:val="20"/>
                <w:szCs w:val="20"/>
              </w:rPr>
              <w:tab/>
              <w:t xml:space="preserve">Section VII, chapter 5.1 Warranty Defect </w:t>
            </w:r>
            <w:proofErr w:type="gramStart"/>
            <w:r w:rsidRPr="005629C3">
              <w:rPr>
                <w:bCs/>
                <w:sz w:val="20"/>
                <w:szCs w:val="20"/>
              </w:rPr>
              <w:t>Repair“</w:t>
            </w:r>
            <w:proofErr w:type="gramEnd"/>
            <w:r w:rsidRPr="005629C3">
              <w:rPr>
                <w:bCs/>
                <w:sz w:val="20"/>
                <w:szCs w:val="20"/>
              </w:rPr>
              <w:t xml:space="preserve">(page 475), it is </w:t>
            </w:r>
            <w:proofErr w:type="gramStart"/>
            <w:r w:rsidRPr="005629C3">
              <w:rPr>
                <w:bCs/>
                <w:sz w:val="20"/>
                <w:szCs w:val="20"/>
              </w:rPr>
              <w:t>mentioned :</w:t>
            </w:r>
            <w:proofErr w:type="gramEnd"/>
            <w:r w:rsidRPr="005629C3">
              <w:rPr>
                <w:bCs/>
                <w:sz w:val="20"/>
                <w:szCs w:val="20"/>
              </w:rPr>
              <w:t xml:space="preserve">“The Supplier MUST provide the following services under the Contract or, as appropriate under separate contracts (as specified in the request for proposals documents)”. </w:t>
            </w:r>
          </w:p>
          <w:p w14:paraId="23610D81" w14:textId="67D4C0EE" w:rsidR="00AA5605" w:rsidRPr="005629C3" w:rsidRDefault="00AA5605" w:rsidP="00AA5605">
            <w:pPr>
              <w:jc w:val="both"/>
              <w:rPr>
                <w:bCs/>
                <w:sz w:val="20"/>
                <w:szCs w:val="20"/>
              </w:rPr>
            </w:pPr>
            <w:r w:rsidRPr="005629C3">
              <w:rPr>
                <w:bCs/>
                <w:sz w:val="20"/>
                <w:szCs w:val="20"/>
              </w:rPr>
              <w:tab/>
              <w:t xml:space="preserve">Section VII, chapter 5.1.1.1 “(page 475), it is mentioned: “Warranty Defect Repair Services are required during the warranty period of 36 months”. </w:t>
            </w:r>
          </w:p>
          <w:p w14:paraId="075A4CCE" w14:textId="77777777" w:rsidR="00AA5605" w:rsidRDefault="00AA5605" w:rsidP="00AA5605">
            <w:pPr>
              <w:jc w:val="both"/>
              <w:rPr>
                <w:bCs/>
                <w:sz w:val="20"/>
                <w:szCs w:val="20"/>
              </w:rPr>
            </w:pPr>
            <w:r w:rsidRPr="005629C3">
              <w:rPr>
                <w:bCs/>
                <w:sz w:val="20"/>
                <w:szCs w:val="20"/>
              </w:rPr>
              <w:tab/>
              <w:t>Section VII, chapter 5.2 “Technical Support” “(page 475), it is mentioned: “The Supplier MUST provide the following services under the Contract for a period of twenty-four months or up to duration of Contract, following the successful implementation and acceptance of the system (as specified in the bidding documents).”</w:t>
            </w:r>
          </w:p>
          <w:p w14:paraId="0D677617" w14:textId="1D8E14B4" w:rsidR="00AA5605" w:rsidRPr="005629C3" w:rsidRDefault="00AA5605" w:rsidP="00AA5605">
            <w:pPr>
              <w:jc w:val="both"/>
              <w:rPr>
                <w:bCs/>
                <w:sz w:val="20"/>
                <w:szCs w:val="20"/>
              </w:rPr>
            </w:pPr>
            <w:r w:rsidRPr="005629C3">
              <w:rPr>
                <w:bCs/>
                <w:sz w:val="20"/>
                <w:szCs w:val="20"/>
              </w:rPr>
              <w:tab/>
            </w:r>
            <w:r w:rsidRPr="005629C3">
              <w:rPr>
                <w:b/>
                <w:sz w:val="20"/>
                <w:szCs w:val="20"/>
              </w:rPr>
              <w:t>b</w:t>
            </w:r>
            <w:r w:rsidRPr="005629C3">
              <w:rPr>
                <w:bCs/>
                <w:sz w:val="20"/>
                <w:szCs w:val="20"/>
              </w:rPr>
              <w:t xml:space="preserve">) In clarification (NO. 1): No. of Question A/A 15 “The duration for the Technical Support services under this section is Twenty-four (24) months or up to duration of </w:t>
            </w:r>
            <w:r w:rsidRPr="005629C3">
              <w:rPr>
                <w:bCs/>
                <w:sz w:val="20"/>
                <w:szCs w:val="20"/>
              </w:rPr>
              <w:lastRenderedPageBreak/>
              <w:t xml:space="preserve">Contract. Warranty Period is 36 months and begin from the date of Operational Acceptance” </w:t>
            </w:r>
          </w:p>
          <w:p w14:paraId="634E70DA" w14:textId="77777777" w:rsidR="00AA5605" w:rsidRDefault="00AA5605" w:rsidP="00AA5605">
            <w:pPr>
              <w:jc w:val="both"/>
              <w:rPr>
                <w:bCs/>
                <w:sz w:val="20"/>
                <w:szCs w:val="20"/>
              </w:rPr>
            </w:pPr>
            <w:r w:rsidRPr="005629C3">
              <w:rPr>
                <w:bCs/>
                <w:sz w:val="20"/>
                <w:szCs w:val="20"/>
              </w:rPr>
              <w:tab/>
              <w:t xml:space="preserve">No. of Question A/A 28 </w:t>
            </w:r>
            <w:proofErr w:type="gramStart"/>
            <w:r w:rsidRPr="005629C3">
              <w:rPr>
                <w:bCs/>
                <w:sz w:val="20"/>
                <w:szCs w:val="20"/>
              </w:rPr>
              <w:t>“ 1</w:t>
            </w:r>
            <w:proofErr w:type="gramEnd"/>
            <w:r w:rsidRPr="005629C3">
              <w:rPr>
                <w:bCs/>
                <w:sz w:val="20"/>
                <w:szCs w:val="20"/>
              </w:rPr>
              <w:t xml:space="preserve">. Technical Support services are Twenty-four (24) months or up to </w:t>
            </w:r>
            <w:proofErr w:type="gramStart"/>
            <w:r w:rsidRPr="005629C3">
              <w:rPr>
                <w:bCs/>
                <w:sz w:val="20"/>
                <w:szCs w:val="20"/>
              </w:rPr>
              <w:t>duration</w:t>
            </w:r>
            <w:proofErr w:type="gramEnd"/>
            <w:r w:rsidRPr="005629C3">
              <w:rPr>
                <w:bCs/>
                <w:sz w:val="20"/>
                <w:szCs w:val="20"/>
              </w:rPr>
              <w:t xml:space="preserve"> of Contract.2. Software license – RDBMS are Twenty-four (24) months or up to duration of Contract.3. Warranty Period is Thirty-six (36) months and begin from the date of Operational Acceptance.”</w:t>
            </w:r>
          </w:p>
          <w:p w14:paraId="662203BB" w14:textId="77777777" w:rsidR="00AA5605" w:rsidRDefault="00AA5605" w:rsidP="00AA5605">
            <w:pPr>
              <w:jc w:val="both"/>
              <w:rPr>
                <w:bCs/>
                <w:sz w:val="20"/>
                <w:szCs w:val="20"/>
              </w:rPr>
            </w:pPr>
          </w:p>
          <w:p w14:paraId="0B9DF7F5" w14:textId="45EE43FC" w:rsidR="00AA5605" w:rsidRDefault="00AA5605" w:rsidP="00AA5605">
            <w:pPr>
              <w:jc w:val="both"/>
              <w:rPr>
                <w:bCs/>
                <w:sz w:val="20"/>
                <w:szCs w:val="20"/>
              </w:rPr>
            </w:pPr>
            <w:r>
              <w:rPr>
                <w:bCs/>
                <w:sz w:val="20"/>
                <w:szCs w:val="20"/>
              </w:rPr>
              <w:t xml:space="preserve">Q a: </w:t>
            </w:r>
            <w:r w:rsidRPr="005629C3">
              <w:rPr>
                <w:bCs/>
                <w:sz w:val="20"/>
                <w:szCs w:val="20"/>
              </w:rPr>
              <w:t xml:space="preserve">Could you please clarify whether the contract duration refers to the implementation period or the implementation period plus 2 years of Technical Support, or the implementation period plus 3 years of warranty. </w:t>
            </w:r>
          </w:p>
          <w:p w14:paraId="6D0B6850" w14:textId="77777777" w:rsidR="00AA5605" w:rsidRPr="005629C3" w:rsidRDefault="00AA5605" w:rsidP="00AA5605">
            <w:pPr>
              <w:jc w:val="both"/>
              <w:rPr>
                <w:bCs/>
                <w:sz w:val="20"/>
                <w:szCs w:val="20"/>
              </w:rPr>
            </w:pPr>
          </w:p>
          <w:p w14:paraId="463E34FD" w14:textId="60B2EFBD" w:rsidR="00AA5605" w:rsidRPr="005629C3" w:rsidRDefault="00AA5605" w:rsidP="00AA5605">
            <w:pPr>
              <w:jc w:val="both"/>
              <w:rPr>
                <w:bCs/>
                <w:sz w:val="20"/>
                <w:szCs w:val="20"/>
              </w:rPr>
            </w:pPr>
            <w:r>
              <w:rPr>
                <w:bCs/>
                <w:sz w:val="20"/>
                <w:szCs w:val="20"/>
              </w:rPr>
              <w:t xml:space="preserve">Q b: </w:t>
            </w:r>
            <w:r w:rsidRPr="005629C3">
              <w:rPr>
                <w:bCs/>
                <w:sz w:val="20"/>
                <w:szCs w:val="20"/>
              </w:rPr>
              <w:t xml:space="preserve">In case the actual contract duration is 2 years implementation plus 3 years of warranty, please also clarify for the requirements you mention “Twenty-four (24) months or up to duration of Contract”, which is the prevailing duration, 24 or 36 months? </w:t>
            </w:r>
          </w:p>
          <w:p w14:paraId="5B83B695" w14:textId="77777777" w:rsidR="00AA5605" w:rsidRPr="005629C3" w:rsidRDefault="00AA5605" w:rsidP="00AA5605">
            <w:pPr>
              <w:jc w:val="both"/>
              <w:rPr>
                <w:bCs/>
                <w:sz w:val="20"/>
                <w:szCs w:val="20"/>
              </w:rPr>
            </w:pPr>
          </w:p>
          <w:p w14:paraId="670068D0" w14:textId="4BA413A8" w:rsidR="00AA5605" w:rsidRDefault="00AA5605" w:rsidP="00AA5605">
            <w:pPr>
              <w:jc w:val="both"/>
              <w:rPr>
                <w:bCs/>
                <w:sz w:val="20"/>
                <w:szCs w:val="20"/>
              </w:rPr>
            </w:pPr>
            <w:r>
              <w:rPr>
                <w:bCs/>
                <w:sz w:val="20"/>
                <w:szCs w:val="20"/>
              </w:rPr>
              <w:t xml:space="preserve">Q c: </w:t>
            </w:r>
            <w:r w:rsidRPr="005629C3">
              <w:rPr>
                <w:bCs/>
                <w:sz w:val="20"/>
                <w:szCs w:val="20"/>
              </w:rPr>
              <w:t xml:space="preserve">For more precise understanding, please clarify the period of support services that should be included in the offer for software, support services for the RDBMS and warranty for hardware equipment as well as start date of support services for SW/RDBMS and warranty for the hardware? </w:t>
            </w:r>
          </w:p>
          <w:p w14:paraId="75DF6D4E" w14:textId="77777777" w:rsidR="00AA5605" w:rsidRPr="005629C3" w:rsidRDefault="00AA5605" w:rsidP="00AA5605">
            <w:pPr>
              <w:jc w:val="both"/>
              <w:rPr>
                <w:bCs/>
                <w:sz w:val="20"/>
                <w:szCs w:val="20"/>
              </w:rPr>
            </w:pPr>
          </w:p>
          <w:p w14:paraId="6C3F6497" w14:textId="7092E061" w:rsidR="00AA5605" w:rsidRDefault="00AA5605" w:rsidP="00AA5605">
            <w:pPr>
              <w:jc w:val="both"/>
              <w:rPr>
                <w:bCs/>
                <w:sz w:val="20"/>
                <w:szCs w:val="20"/>
              </w:rPr>
            </w:pPr>
            <w:r>
              <w:rPr>
                <w:bCs/>
                <w:sz w:val="20"/>
                <w:szCs w:val="20"/>
              </w:rPr>
              <w:t xml:space="preserve">Q d: </w:t>
            </w:r>
            <w:r w:rsidRPr="005629C3">
              <w:rPr>
                <w:bCs/>
                <w:sz w:val="20"/>
                <w:szCs w:val="20"/>
              </w:rPr>
              <w:t xml:space="preserve">Since the warranty for the hardware equipment should start </w:t>
            </w:r>
            <w:proofErr w:type="gramStart"/>
            <w:r w:rsidRPr="005629C3">
              <w:rPr>
                <w:bCs/>
                <w:sz w:val="20"/>
                <w:szCs w:val="20"/>
              </w:rPr>
              <w:t>from</w:t>
            </w:r>
            <w:proofErr w:type="gramEnd"/>
            <w:r w:rsidRPr="005629C3">
              <w:rPr>
                <w:bCs/>
                <w:sz w:val="20"/>
                <w:szCs w:val="20"/>
              </w:rPr>
              <w:t xml:space="preserve"> the delivery and implementation of the hardware environment, please clarify if we can consider Partially Operational Acceptance Test for the hardware environment and 3 years warranty to start from that date.</w:t>
            </w:r>
          </w:p>
        </w:tc>
        <w:tc>
          <w:tcPr>
            <w:tcW w:w="1276" w:type="dxa"/>
            <w:tcBorders>
              <w:top w:val="single" w:sz="4" w:space="0" w:color="auto"/>
              <w:bottom w:val="single" w:sz="4" w:space="0" w:color="auto"/>
            </w:tcBorders>
          </w:tcPr>
          <w:p w14:paraId="256F29FE" w14:textId="51A6190A" w:rsidR="00AA5605" w:rsidRDefault="00AA5605" w:rsidP="00AA5605">
            <w:pPr>
              <w:rPr>
                <w:bCs/>
                <w:sz w:val="18"/>
                <w:szCs w:val="18"/>
              </w:rPr>
            </w:pPr>
            <w:r>
              <w:rPr>
                <w:bCs/>
                <w:sz w:val="18"/>
                <w:szCs w:val="18"/>
              </w:rPr>
              <w:lastRenderedPageBreak/>
              <w:t xml:space="preserve">RFP – Section VII - </w:t>
            </w:r>
            <w:r w:rsidRPr="00A826C5">
              <w:rPr>
                <w:bCs/>
                <w:sz w:val="18"/>
                <w:szCs w:val="18"/>
              </w:rPr>
              <w:t>Requirements of the Information System</w:t>
            </w:r>
          </w:p>
        </w:tc>
        <w:tc>
          <w:tcPr>
            <w:tcW w:w="545" w:type="dxa"/>
            <w:tcBorders>
              <w:top w:val="single" w:sz="4" w:space="0" w:color="auto"/>
              <w:bottom w:val="single" w:sz="4" w:space="0" w:color="auto"/>
            </w:tcBorders>
          </w:tcPr>
          <w:p w14:paraId="34AACCA4" w14:textId="65FC1CD4" w:rsidR="00AA5605" w:rsidRDefault="00AA5605" w:rsidP="00AA5605">
            <w:pPr>
              <w:rPr>
                <w:sz w:val="22"/>
                <w:szCs w:val="22"/>
              </w:rPr>
            </w:pPr>
            <w:r>
              <w:rPr>
                <w:sz w:val="22"/>
                <w:szCs w:val="22"/>
              </w:rPr>
              <w:t>65</w:t>
            </w:r>
          </w:p>
        </w:tc>
        <w:tc>
          <w:tcPr>
            <w:tcW w:w="4541" w:type="dxa"/>
            <w:tcBorders>
              <w:top w:val="single" w:sz="4" w:space="0" w:color="auto"/>
              <w:bottom w:val="single" w:sz="4" w:space="0" w:color="auto"/>
            </w:tcBorders>
          </w:tcPr>
          <w:p w14:paraId="4B98499E" w14:textId="77777777" w:rsidR="00AA5605" w:rsidRPr="00197A28" w:rsidRDefault="00AA5605" w:rsidP="00AA5605">
            <w:pPr>
              <w:jc w:val="both"/>
              <w:rPr>
                <w:bCs/>
                <w:sz w:val="20"/>
                <w:szCs w:val="20"/>
              </w:rPr>
            </w:pPr>
            <w:r w:rsidRPr="00197A28">
              <w:rPr>
                <w:bCs/>
                <w:sz w:val="20"/>
                <w:szCs w:val="20"/>
              </w:rPr>
              <w:t>A a:</w:t>
            </w:r>
          </w:p>
          <w:p w14:paraId="27AB475E" w14:textId="37EE49F7" w:rsidR="00AA5605" w:rsidRPr="00197A28" w:rsidRDefault="00AA5605" w:rsidP="00AA5605">
            <w:pPr>
              <w:jc w:val="both"/>
              <w:rPr>
                <w:bCs/>
                <w:sz w:val="20"/>
                <w:szCs w:val="20"/>
              </w:rPr>
            </w:pPr>
            <w:r w:rsidRPr="00197A28">
              <w:rPr>
                <w:bCs/>
                <w:sz w:val="20"/>
                <w:szCs w:val="20"/>
              </w:rPr>
              <w:t>The contract duration refers to the implementation period, which is 104 weeks (24 months).</w:t>
            </w:r>
          </w:p>
          <w:p w14:paraId="70DDB2BE" w14:textId="2D985EA8" w:rsidR="00AA5605" w:rsidRPr="00197A28" w:rsidRDefault="00AA5605" w:rsidP="00AA5605">
            <w:pPr>
              <w:jc w:val="both"/>
              <w:rPr>
                <w:bCs/>
                <w:sz w:val="20"/>
                <w:szCs w:val="20"/>
              </w:rPr>
            </w:pPr>
            <w:r w:rsidRPr="00197A28">
              <w:rPr>
                <w:bCs/>
                <w:sz w:val="20"/>
                <w:szCs w:val="20"/>
              </w:rPr>
              <w:t>The technical support services for both the software and the RDBMS licenses also cover this 104-week period, as specified in the Implementation Schedule i.e., they should be provided throughout the implementation or until the end of the contract.</w:t>
            </w:r>
          </w:p>
          <w:p w14:paraId="041F1BD0" w14:textId="77777777" w:rsidR="00AA5605" w:rsidRPr="00197A28" w:rsidRDefault="00AA5605" w:rsidP="00AA5605">
            <w:pPr>
              <w:jc w:val="both"/>
              <w:rPr>
                <w:bCs/>
                <w:sz w:val="20"/>
                <w:szCs w:val="20"/>
              </w:rPr>
            </w:pPr>
            <w:r w:rsidRPr="00197A28">
              <w:rPr>
                <w:bCs/>
                <w:sz w:val="20"/>
                <w:szCs w:val="20"/>
              </w:rPr>
              <w:t>The warranty period begins after the system achieves Operational Acceptance and lasts for three years.</w:t>
            </w:r>
          </w:p>
          <w:p w14:paraId="387AA68C" w14:textId="77777777" w:rsidR="00AA5605" w:rsidRPr="00197A28" w:rsidRDefault="00AA5605" w:rsidP="00AA5605">
            <w:pPr>
              <w:jc w:val="both"/>
              <w:rPr>
                <w:bCs/>
                <w:sz w:val="20"/>
                <w:szCs w:val="20"/>
              </w:rPr>
            </w:pPr>
            <w:r w:rsidRPr="00197A28">
              <w:rPr>
                <w:bCs/>
                <w:sz w:val="20"/>
                <w:szCs w:val="20"/>
              </w:rPr>
              <w:t>In summary:</w:t>
            </w:r>
          </w:p>
          <w:p w14:paraId="5454143C" w14:textId="2495FDEB" w:rsidR="00AA5605" w:rsidRPr="00197A28" w:rsidRDefault="00AA5605" w:rsidP="00AA5605">
            <w:pPr>
              <w:jc w:val="both"/>
              <w:rPr>
                <w:bCs/>
                <w:sz w:val="20"/>
                <w:szCs w:val="20"/>
              </w:rPr>
            </w:pPr>
            <w:r w:rsidRPr="00197A28">
              <w:rPr>
                <w:bCs/>
                <w:sz w:val="20"/>
                <w:szCs w:val="20"/>
              </w:rPr>
              <w:t>• Implementation period: 2 years (including software technical support and RDBMS support)</w:t>
            </w:r>
          </w:p>
          <w:p w14:paraId="51A75512" w14:textId="77777777" w:rsidR="00AA5605" w:rsidRPr="00197A28" w:rsidRDefault="00AA5605" w:rsidP="00AA5605">
            <w:pPr>
              <w:jc w:val="both"/>
              <w:rPr>
                <w:bCs/>
                <w:sz w:val="20"/>
                <w:szCs w:val="20"/>
              </w:rPr>
            </w:pPr>
            <w:r w:rsidRPr="00197A28">
              <w:rPr>
                <w:bCs/>
                <w:sz w:val="20"/>
                <w:szCs w:val="20"/>
              </w:rPr>
              <w:t>• Warranty period: 3 years (starting after Operational Acceptance)</w:t>
            </w:r>
          </w:p>
          <w:p w14:paraId="1DAE6921" w14:textId="77777777" w:rsidR="00AA5605" w:rsidRPr="00197A28" w:rsidRDefault="00AA5605" w:rsidP="00AA5605">
            <w:pPr>
              <w:jc w:val="both"/>
              <w:rPr>
                <w:bCs/>
                <w:sz w:val="20"/>
                <w:szCs w:val="20"/>
              </w:rPr>
            </w:pPr>
          </w:p>
          <w:p w14:paraId="7B75BA06" w14:textId="6E6E6F3D" w:rsidR="00AA5605" w:rsidRPr="00197A28" w:rsidRDefault="00AA5605" w:rsidP="00AA5605">
            <w:pPr>
              <w:jc w:val="both"/>
              <w:rPr>
                <w:bCs/>
                <w:sz w:val="20"/>
                <w:szCs w:val="20"/>
              </w:rPr>
            </w:pPr>
            <w:r w:rsidRPr="00197A28">
              <w:rPr>
                <w:bCs/>
                <w:sz w:val="20"/>
                <w:szCs w:val="20"/>
              </w:rPr>
              <w:t>A b:</w:t>
            </w:r>
          </w:p>
          <w:p w14:paraId="36AA0A98" w14:textId="77777777" w:rsidR="00AA5605" w:rsidRPr="00197A28" w:rsidRDefault="00AA5605" w:rsidP="00AA5605">
            <w:pPr>
              <w:jc w:val="both"/>
              <w:rPr>
                <w:bCs/>
                <w:sz w:val="20"/>
                <w:szCs w:val="20"/>
              </w:rPr>
            </w:pPr>
            <w:r w:rsidRPr="00197A28">
              <w:rPr>
                <w:bCs/>
                <w:sz w:val="20"/>
                <w:szCs w:val="20"/>
              </w:rPr>
              <w:t>Please kindly refer to the clarification provided above.</w:t>
            </w:r>
          </w:p>
          <w:p w14:paraId="346545D5" w14:textId="77777777" w:rsidR="00AA5605" w:rsidRPr="00197A28" w:rsidRDefault="00AA5605" w:rsidP="00AA5605">
            <w:pPr>
              <w:jc w:val="both"/>
              <w:rPr>
                <w:bCs/>
                <w:sz w:val="20"/>
                <w:szCs w:val="20"/>
              </w:rPr>
            </w:pPr>
            <w:r w:rsidRPr="00197A28">
              <w:rPr>
                <w:bCs/>
                <w:sz w:val="20"/>
                <w:szCs w:val="20"/>
              </w:rPr>
              <w:t>Additionally, we would like to emphasize the distinction between the technical support period and the warranty period:</w:t>
            </w:r>
          </w:p>
          <w:p w14:paraId="2C34C356" w14:textId="6B9A37AB" w:rsidR="00AA5605" w:rsidRPr="00197A28" w:rsidRDefault="00AA5605" w:rsidP="00AA5605">
            <w:pPr>
              <w:jc w:val="both"/>
              <w:rPr>
                <w:bCs/>
                <w:sz w:val="20"/>
                <w:szCs w:val="20"/>
              </w:rPr>
            </w:pPr>
            <w:r w:rsidRPr="00197A28">
              <w:rPr>
                <w:bCs/>
                <w:sz w:val="20"/>
                <w:szCs w:val="20"/>
              </w:rPr>
              <w:t xml:space="preserve">• Technical support duration: 24 months (104 weeks), which corresponds to the full duration of the implementation period. This includes technical </w:t>
            </w:r>
            <w:r w:rsidRPr="00197A28">
              <w:rPr>
                <w:bCs/>
                <w:sz w:val="20"/>
                <w:szCs w:val="20"/>
              </w:rPr>
              <w:lastRenderedPageBreak/>
              <w:t>support for both the software and the RDBMS licenses, as outlined in the Implementation Schedule.</w:t>
            </w:r>
          </w:p>
          <w:p w14:paraId="712660D6" w14:textId="77777777" w:rsidR="00AA5605" w:rsidRPr="00197A28" w:rsidRDefault="00AA5605" w:rsidP="00AA5605">
            <w:pPr>
              <w:jc w:val="both"/>
              <w:rPr>
                <w:bCs/>
                <w:sz w:val="20"/>
                <w:szCs w:val="20"/>
              </w:rPr>
            </w:pPr>
            <w:r w:rsidRPr="00197A28">
              <w:rPr>
                <w:bCs/>
                <w:sz w:val="20"/>
                <w:szCs w:val="20"/>
              </w:rPr>
              <w:t>• Warranty period: 36 months (3 years), commencing only after the system has received Operational Acceptance.</w:t>
            </w:r>
          </w:p>
          <w:p w14:paraId="7742C0CB" w14:textId="77777777" w:rsidR="00AA5605" w:rsidRPr="00197A28" w:rsidRDefault="00AA5605" w:rsidP="00AA5605">
            <w:pPr>
              <w:jc w:val="both"/>
              <w:rPr>
                <w:bCs/>
                <w:sz w:val="20"/>
                <w:szCs w:val="20"/>
              </w:rPr>
            </w:pPr>
          </w:p>
          <w:p w14:paraId="0BA7E506" w14:textId="77777777" w:rsidR="00AA5605" w:rsidRPr="00197A28" w:rsidRDefault="00AA5605" w:rsidP="00AA5605">
            <w:pPr>
              <w:jc w:val="both"/>
              <w:rPr>
                <w:bCs/>
                <w:sz w:val="20"/>
                <w:szCs w:val="20"/>
              </w:rPr>
            </w:pPr>
            <w:r w:rsidRPr="00197A28">
              <w:rPr>
                <w:bCs/>
                <w:sz w:val="20"/>
                <w:szCs w:val="20"/>
              </w:rPr>
              <w:t>A c:</w:t>
            </w:r>
          </w:p>
          <w:p w14:paraId="2EFD0E7F" w14:textId="77777777" w:rsidR="00AA5605" w:rsidRPr="00197A28" w:rsidRDefault="00AA5605" w:rsidP="00AA5605">
            <w:pPr>
              <w:jc w:val="both"/>
              <w:rPr>
                <w:bCs/>
                <w:sz w:val="20"/>
                <w:szCs w:val="20"/>
              </w:rPr>
            </w:pPr>
            <w:r w:rsidRPr="00197A28">
              <w:rPr>
                <w:bCs/>
                <w:sz w:val="20"/>
                <w:szCs w:val="20"/>
              </w:rPr>
              <w:t>The period of support services that should be included in the offer for software and support services for the RDBMS is Twenty-four (24) months or up to duration of Contract.</w:t>
            </w:r>
          </w:p>
          <w:p w14:paraId="1724D948" w14:textId="77777777" w:rsidR="00AA5605" w:rsidRPr="00197A28" w:rsidRDefault="00AA5605" w:rsidP="00AA5605">
            <w:pPr>
              <w:jc w:val="both"/>
              <w:rPr>
                <w:bCs/>
                <w:sz w:val="20"/>
                <w:szCs w:val="20"/>
              </w:rPr>
            </w:pPr>
            <w:r w:rsidRPr="00197A28">
              <w:rPr>
                <w:bCs/>
                <w:sz w:val="20"/>
                <w:szCs w:val="20"/>
              </w:rPr>
              <w:t>Warranty for hardware equipment – The warranty period of the hardware equipment and the software is 36 months and begins from the date of the Operational Acceptance.</w:t>
            </w:r>
          </w:p>
          <w:p w14:paraId="3AA33161" w14:textId="77777777" w:rsidR="00AA5605" w:rsidRPr="00197A28" w:rsidRDefault="00AA5605" w:rsidP="00AA5605">
            <w:pPr>
              <w:jc w:val="both"/>
              <w:rPr>
                <w:bCs/>
                <w:sz w:val="20"/>
                <w:szCs w:val="20"/>
              </w:rPr>
            </w:pPr>
          </w:p>
          <w:p w14:paraId="2D1FBC48" w14:textId="77777777" w:rsidR="00AA5605" w:rsidRPr="00197A28" w:rsidRDefault="00AA5605" w:rsidP="00AA5605">
            <w:pPr>
              <w:jc w:val="both"/>
              <w:rPr>
                <w:bCs/>
                <w:sz w:val="20"/>
                <w:szCs w:val="20"/>
              </w:rPr>
            </w:pPr>
            <w:r w:rsidRPr="00197A28">
              <w:rPr>
                <w:bCs/>
                <w:sz w:val="20"/>
                <w:szCs w:val="20"/>
              </w:rPr>
              <w:t>A d:</w:t>
            </w:r>
          </w:p>
          <w:p w14:paraId="49593B4C" w14:textId="2A502DAC" w:rsidR="00AA5605" w:rsidRPr="00197A28" w:rsidRDefault="00AA5605" w:rsidP="00AA5605">
            <w:pPr>
              <w:rPr>
                <w:bCs/>
                <w:sz w:val="20"/>
                <w:szCs w:val="20"/>
              </w:rPr>
            </w:pPr>
            <w:r w:rsidRPr="00197A28">
              <w:rPr>
                <w:bCs/>
                <w:sz w:val="20"/>
                <w:szCs w:val="20"/>
              </w:rPr>
              <w:t>The Partially Operational Acceptance Test is not acceptable to be considered as the start of the hardware equipment warranty.</w:t>
            </w:r>
          </w:p>
          <w:p w14:paraId="0B6B97C9" w14:textId="77777777" w:rsidR="00AA5605" w:rsidRPr="00197A28" w:rsidRDefault="00AA5605" w:rsidP="00AA5605">
            <w:pPr>
              <w:jc w:val="both"/>
              <w:rPr>
                <w:bCs/>
                <w:sz w:val="20"/>
                <w:szCs w:val="20"/>
              </w:rPr>
            </w:pPr>
          </w:p>
          <w:p w14:paraId="1779817A" w14:textId="39AAA58E" w:rsidR="00AA5605" w:rsidRPr="00197A28" w:rsidRDefault="00AA5605" w:rsidP="00AA5605">
            <w:pPr>
              <w:jc w:val="both"/>
              <w:rPr>
                <w:bCs/>
                <w:sz w:val="20"/>
                <w:szCs w:val="20"/>
              </w:rPr>
            </w:pPr>
            <w:r w:rsidRPr="00197A28">
              <w:rPr>
                <w:bCs/>
                <w:sz w:val="20"/>
                <w:szCs w:val="20"/>
              </w:rPr>
              <w:t>Also, please see Clarification 1 – Q/A 15 and Q/A 28</w:t>
            </w:r>
          </w:p>
        </w:tc>
        <w:tc>
          <w:tcPr>
            <w:tcW w:w="1576" w:type="dxa"/>
            <w:tcBorders>
              <w:top w:val="single" w:sz="4" w:space="0" w:color="auto"/>
              <w:bottom w:val="single" w:sz="4" w:space="0" w:color="auto"/>
            </w:tcBorders>
          </w:tcPr>
          <w:p w14:paraId="2B68ED41" w14:textId="77777777" w:rsidR="00AA5605" w:rsidRDefault="00AA5605" w:rsidP="00AA5605">
            <w:pPr>
              <w:rPr>
                <w:sz w:val="22"/>
                <w:szCs w:val="22"/>
              </w:rPr>
            </w:pPr>
            <w:r>
              <w:rPr>
                <w:sz w:val="22"/>
                <w:szCs w:val="22"/>
              </w:rPr>
              <w:lastRenderedPageBreak/>
              <w:t>Clarification</w:t>
            </w:r>
          </w:p>
        </w:tc>
      </w:tr>
    </w:tbl>
    <w:p w14:paraId="797F8C9C" w14:textId="77777777" w:rsidR="007B374C" w:rsidRDefault="007B374C"/>
    <w:p w14:paraId="2D424771" w14:textId="77777777" w:rsidR="007B374C" w:rsidRDefault="008C2123">
      <w:pPr>
        <w:spacing w:before="60"/>
        <w:jc w:val="both"/>
        <w:rPr>
          <w:b/>
          <w:bCs/>
          <w:sz w:val="22"/>
          <w:szCs w:val="22"/>
        </w:rPr>
      </w:pPr>
      <w:r>
        <w:rPr>
          <w:b/>
          <w:bCs/>
          <w:sz w:val="22"/>
          <w:szCs w:val="22"/>
        </w:rPr>
        <w:t>Please note that confirmation by e-mail of the receipt of this Clarification no.1 is compulsory!</w:t>
      </w:r>
    </w:p>
    <w:p w14:paraId="62BB7CCF" w14:textId="77777777" w:rsidR="007B374C" w:rsidRDefault="007B374C">
      <w:pPr>
        <w:jc w:val="both"/>
        <w:rPr>
          <w:b/>
          <w:bCs/>
          <w:sz w:val="16"/>
          <w:szCs w:val="16"/>
        </w:rPr>
      </w:pPr>
    </w:p>
    <w:p w14:paraId="4DB00B55" w14:textId="77777777" w:rsidR="007B374C" w:rsidRDefault="008C2123">
      <w:pPr>
        <w:jc w:val="both"/>
        <w:rPr>
          <w:sz w:val="22"/>
          <w:szCs w:val="22"/>
        </w:rPr>
      </w:pPr>
      <w:r>
        <w:rPr>
          <w:sz w:val="22"/>
          <w:szCs w:val="22"/>
        </w:rPr>
        <w:t>Yours sincerely,</w:t>
      </w:r>
    </w:p>
    <w:p w14:paraId="75AF9890" w14:textId="77777777" w:rsidR="007B374C" w:rsidRDefault="007B374C">
      <w:pPr>
        <w:jc w:val="both"/>
        <w:rPr>
          <w:sz w:val="16"/>
          <w:szCs w:val="16"/>
        </w:rPr>
      </w:pPr>
    </w:p>
    <w:p w14:paraId="6C7CC099" w14:textId="77777777" w:rsidR="007B374C" w:rsidRDefault="008C2123">
      <w:pPr>
        <w:rPr>
          <w:color w:val="000000"/>
          <w:sz w:val="20"/>
          <w:szCs w:val="20"/>
          <w:lang w:eastAsia="en-US"/>
        </w:rPr>
      </w:pPr>
      <w:r>
        <w:rPr>
          <w:rFonts w:ascii="Arial" w:hAnsi="Arial" w:cs="Arial"/>
          <w:b/>
          <w:bCs/>
          <w:color w:val="203864"/>
          <w:sz w:val="20"/>
          <w:szCs w:val="20"/>
        </w:rPr>
        <w:t>Slavko Micevski</w:t>
      </w:r>
    </w:p>
    <w:p w14:paraId="08F5AA31" w14:textId="77777777" w:rsidR="007B374C" w:rsidRDefault="008C2123">
      <w:pPr>
        <w:rPr>
          <w:color w:val="000000"/>
        </w:rPr>
      </w:pPr>
      <w:r>
        <w:rPr>
          <w:rFonts w:ascii="Arial" w:hAnsi="Arial" w:cs="Arial"/>
          <w:color w:val="203864"/>
          <w:sz w:val="18"/>
          <w:szCs w:val="18"/>
        </w:rPr>
        <w:t xml:space="preserve">Procurement officer </w:t>
      </w:r>
    </w:p>
    <w:p w14:paraId="538ECFF9" w14:textId="77777777" w:rsidR="007B374C" w:rsidRDefault="008C2123">
      <w:pPr>
        <w:rPr>
          <w:color w:val="000000"/>
        </w:rPr>
      </w:pPr>
      <w:r>
        <w:rPr>
          <w:rFonts w:ascii="Arial" w:hAnsi="Arial" w:cs="Arial"/>
          <w:color w:val="203864"/>
          <w:sz w:val="18"/>
          <w:szCs w:val="18"/>
        </w:rPr>
        <w:t> </w:t>
      </w:r>
    </w:p>
    <w:p w14:paraId="28CD69D0" w14:textId="77777777" w:rsidR="007B374C" w:rsidRDefault="008C2123">
      <w:pPr>
        <w:rPr>
          <w:color w:val="000000"/>
          <w:sz w:val="18"/>
          <w:szCs w:val="18"/>
        </w:rPr>
      </w:pPr>
      <w:r>
        <w:rPr>
          <w:rFonts w:ascii="Arial" w:hAnsi="Arial" w:cs="Arial"/>
          <w:i/>
          <w:iCs/>
          <w:color w:val="7F6000"/>
          <w:sz w:val="18"/>
          <w:szCs w:val="18"/>
        </w:rPr>
        <w:t>Western Balkans Trade and Transport Facilitation Project</w:t>
      </w:r>
    </w:p>
    <w:p w14:paraId="6B6108AE" w14:textId="77777777" w:rsidR="007B374C" w:rsidRDefault="008C2123">
      <w:pPr>
        <w:rPr>
          <w:color w:val="000000"/>
          <w:sz w:val="18"/>
          <w:szCs w:val="18"/>
        </w:rPr>
      </w:pPr>
      <w:r>
        <w:rPr>
          <w:rFonts w:ascii="Arial" w:hAnsi="Arial" w:cs="Arial"/>
          <w:i/>
          <w:iCs/>
          <w:color w:val="7F6000"/>
          <w:sz w:val="18"/>
          <w:szCs w:val="18"/>
        </w:rPr>
        <w:lastRenderedPageBreak/>
        <w:t>Local Roads Connectivity Project</w:t>
      </w:r>
    </w:p>
    <w:p w14:paraId="0496FD4A" w14:textId="77777777" w:rsidR="007B374C" w:rsidRDefault="008C2123">
      <w:pPr>
        <w:rPr>
          <w:color w:val="000000"/>
          <w:sz w:val="18"/>
          <w:szCs w:val="18"/>
        </w:rPr>
      </w:pPr>
      <w:r>
        <w:rPr>
          <w:rFonts w:ascii="Arial" w:hAnsi="Arial" w:cs="Arial"/>
          <w:i/>
          <w:iCs/>
          <w:color w:val="203864"/>
          <w:sz w:val="18"/>
          <w:szCs w:val="18"/>
        </w:rPr>
        <w:t xml:space="preserve">E: </w:t>
      </w:r>
      <w:hyperlink r:id="rId8" w:tooltip="mailto:slavko.micevski@piu.mtc.gov.mk" w:history="1">
        <w:r w:rsidR="007B374C">
          <w:rPr>
            <w:rStyle w:val="Hyperlink"/>
            <w:rFonts w:ascii="Arial" w:hAnsi="Arial" w:cs="Arial"/>
            <w:b/>
            <w:bCs/>
            <w:sz w:val="18"/>
            <w:szCs w:val="18"/>
          </w:rPr>
          <w:t>slavko.micevski@piu.mtc.gov.mk</w:t>
        </w:r>
      </w:hyperlink>
      <w:r>
        <w:rPr>
          <w:rFonts w:ascii="Arial" w:hAnsi="Arial" w:cs="Arial"/>
          <w:b/>
          <w:bCs/>
          <w:color w:val="203864"/>
          <w:sz w:val="18"/>
          <w:szCs w:val="18"/>
        </w:rPr>
        <w:t xml:space="preserve"> </w:t>
      </w:r>
    </w:p>
    <w:p w14:paraId="2F7FBFF3" w14:textId="77777777" w:rsidR="007B374C" w:rsidRDefault="008C2123">
      <w:pPr>
        <w:rPr>
          <w:color w:val="000000"/>
          <w:sz w:val="18"/>
          <w:szCs w:val="18"/>
        </w:rPr>
      </w:pPr>
      <w:r>
        <w:rPr>
          <w:rFonts w:ascii="Arial" w:hAnsi="Arial" w:cs="Arial"/>
          <w:i/>
          <w:iCs/>
          <w:color w:val="203864"/>
          <w:sz w:val="18"/>
          <w:szCs w:val="18"/>
        </w:rPr>
        <w:t xml:space="preserve">T: </w:t>
      </w:r>
      <w:r>
        <w:rPr>
          <w:rFonts w:ascii="Arial" w:hAnsi="Arial" w:cs="Arial"/>
          <w:color w:val="203864"/>
          <w:sz w:val="18"/>
          <w:szCs w:val="18"/>
        </w:rPr>
        <w:t>+38975494977</w:t>
      </w:r>
    </w:p>
    <w:p w14:paraId="52F38C5E" w14:textId="77777777" w:rsidR="007B374C" w:rsidRDefault="008C2123">
      <w:pPr>
        <w:rPr>
          <w:color w:val="000000"/>
          <w:sz w:val="18"/>
          <w:szCs w:val="18"/>
        </w:rPr>
      </w:pPr>
      <w:r>
        <w:rPr>
          <w:rFonts w:ascii="Arial" w:hAnsi="Arial" w:cs="Arial"/>
          <w:i/>
          <w:iCs/>
          <w:color w:val="203864"/>
          <w:sz w:val="18"/>
          <w:szCs w:val="18"/>
        </w:rPr>
        <w:t>Ministry of Transport</w:t>
      </w:r>
    </w:p>
    <w:p w14:paraId="645CC9BD" w14:textId="77777777" w:rsidR="007B374C" w:rsidRDefault="008C2123">
      <w:pPr>
        <w:rPr>
          <w:color w:val="000000"/>
          <w:sz w:val="18"/>
          <w:szCs w:val="18"/>
        </w:rPr>
      </w:pPr>
      <w:proofErr w:type="spellStart"/>
      <w:r>
        <w:rPr>
          <w:rFonts w:ascii="Arial" w:hAnsi="Arial" w:cs="Arial"/>
          <w:i/>
          <w:iCs/>
          <w:color w:val="203864"/>
          <w:sz w:val="18"/>
          <w:szCs w:val="18"/>
        </w:rPr>
        <w:t>Crvena</w:t>
      </w:r>
      <w:proofErr w:type="spellEnd"/>
      <w:r>
        <w:rPr>
          <w:rFonts w:ascii="Arial" w:hAnsi="Arial" w:cs="Arial"/>
          <w:i/>
          <w:iCs/>
          <w:color w:val="203864"/>
          <w:sz w:val="18"/>
          <w:szCs w:val="18"/>
        </w:rPr>
        <w:t xml:space="preserve"> Skopska </w:t>
      </w:r>
      <w:proofErr w:type="spellStart"/>
      <w:r>
        <w:rPr>
          <w:rFonts w:ascii="Arial" w:hAnsi="Arial" w:cs="Arial"/>
          <w:i/>
          <w:iCs/>
          <w:color w:val="203864"/>
          <w:sz w:val="18"/>
          <w:szCs w:val="18"/>
        </w:rPr>
        <w:t>Opstina</w:t>
      </w:r>
      <w:proofErr w:type="spellEnd"/>
      <w:r>
        <w:rPr>
          <w:rFonts w:ascii="Arial" w:hAnsi="Arial" w:cs="Arial"/>
          <w:i/>
          <w:iCs/>
          <w:color w:val="203864"/>
          <w:sz w:val="18"/>
          <w:szCs w:val="18"/>
        </w:rPr>
        <w:t xml:space="preserve"> 4, 1000 Skopje</w:t>
      </w:r>
      <w:r>
        <w:rPr>
          <w:rFonts w:ascii="Arial" w:hAnsi="Arial" w:cs="Arial"/>
          <w:i/>
          <w:iCs/>
          <w:color w:val="203864"/>
          <w:sz w:val="18"/>
          <w:szCs w:val="18"/>
        </w:rPr>
        <w:br/>
        <w:t>Republic of North Macedonia</w:t>
      </w:r>
    </w:p>
    <w:p w14:paraId="56B43E76" w14:textId="77777777" w:rsidR="007B374C" w:rsidRDefault="007B374C">
      <w:pPr>
        <w:rPr>
          <w:color w:val="000000"/>
          <w:sz w:val="18"/>
          <w:szCs w:val="18"/>
        </w:rPr>
      </w:pPr>
      <w:hyperlink r:id="rId9" w:tooltip="https://urlsand.esvalabs.com/?u=http%3A%2F%2Fwww.mtc.gov.mk%2F&amp;e=1c203a69&amp;h=abbff2f3&amp;f=y&amp;p=y" w:history="1">
        <w:r>
          <w:rPr>
            <w:rStyle w:val="Hyperlink"/>
            <w:rFonts w:ascii="Arial" w:hAnsi="Arial" w:cs="Arial"/>
            <w:i/>
            <w:iCs/>
            <w:sz w:val="18"/>
            <w:szCs w:val="18"/>
          </w:rPr>
          <w:t>www.mtc.gov.mk</w:t>
        </w:r>
      </w:hyperlink>
    </w:p>
    <w:p w14:paraId="5BCD16CC" w14:textId="77777777" w:rsidR="007B374C" w:rsidRDefault="007B374C">
      <w:pPr>
        <w:jc w:val="both"/>
        <w:rPr>
          <w:sz w:val="16"/>
          <w:szCs w:val="16"/>
        </w:rPr>
      </w:pPr>
    </w:p>
    <w:sectPr w:rsidR="007B374C">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9E58" w14:textId="77777777" w:rsidR="00492B5F" w:rsidRDefault="00492B5F">
      <w:r>
        <w:separator/>
      </w:r>
    </w:p>
  </w:endnote>
  <w:endnote w:type="continuationSeparator" w:id="0">
    <w:p w14:paraId="19B89F11" w14:textId="77777777" w:rsidR="00492B5F" w:rsidRDefault="0049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CB69" w14:textId="77777777" w:rsidR="00492B5F" w:rsidRDefault="00492B5F">
      <w:r>
        <w:separator/>
      </w:r>
    </w:p>
  </w:footnote>
  <w:footnote w:type="continuationSeparator" w:id="0">
    <w:p w14:paraId="5B85702E" w14:textId="77777777" w:rsidR="00492B5F" w:rsidRDefault="00492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475596"/>
      <w:docPartObj>
        <w:docPartGallery w:val="Page Numbers (Top of Page)"/>
        <w:docPartUnique/>
      </w:docPartObj>
    </w:sdtPr>
    <w:sdtContent>
      <w:p w14:paraId="068FD754" w14:textId="521F2815" w:rsidR="007B374C" w:rsidRDefault="008C2123">
        <w:pPr>
          <w:pStyle w:val="Header"/>
          <w:jc w:val="right"/>
        </w:pPr>
        <w:r>
          <w:fldChar w:fldCharType="begin"/>
        </w:r>
        <w:r>
          <w:instrText xml:space="preserve"> PAGE   \* MERGEFORMAT </w:instrText>
        </w:r>
        <w:r>
          <w:fldChar w:fldCharType="separate"/>
        </w:r>
        <w:r w:rsidR="00FD0873">
          <w:rPr>
            <w:noProof/>
          </w:rPr>
          <w:t>1</w:t>
        </w:r>
        <w:r>
          <w:fldChar w:fldCharType="end"/>
        </w:r>
      </w:p>
    </w:sdtContent>
  </w:sdt>
  <w:p w14:paraId="57445ACD" w14:textId="77777777" w:rsidR="007B374C" w:rsidRDefault="007B3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A8B9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7C42BE"/>
    <w:multiLevelType w:val="hybridMultilevel"/>
    <w:tmpl w:val="5BCAE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07A90"/>
    <w:multiLevelType w:val="hybridMultilevel"/>
    <w:tmpl w:val="8F1229D0"/>
    <w:lvl w:ilvl="0" w:tplc="56020A5C">
      <w:start w:val="1"/>
      <w:numFmt w:val="bullet"/>
      <w:lvlText w:val="•"/>
      <w:lvlJc w:val="left"/>
    </w:lvl>
    <w:lvl w:ilvl="1" w:tplc="D970235A">
      <w:start w:val="1"/>
      <w:numFmt w:val="decimal"/>
      <w:lvlText w:val=""/>
      <w:lvlJc w:val="left"/>
    </w:lvl>
    <w:lvl w:ilvl="2" w:tplc="7CF09138">
      <w:start w:val="1"/>
      <w:numFmt w:val="decimal"/>
      <w:lvlText w:val=""/>
      <w:lvlJc w:val="left"/>
    </w:lvl>
    <w:lvl w:ilvl="3" w:tplc="90082E34">
      <w:start w:val="1"/>
      <w:numFmt w:val="decimal"/>
      <w:lvlText w:val=""/>
      <w:lvlJc w:val="left"/>
    </w:lvl>
    <w:lvl w:ilvl="4" w:tplc="DDA6CF98">
      <w:start w:val="1"/>
      <w:numFmt w:val="decimal"/>
      <w:lvlText w:val=""/>
      <w:lvlJc w:val="left"/>
    </w:lvl>
    <w:lvl w:ilvl="5" w:tplc="98FA38A6">
      <w:start w:val="1"/>
      <w:numFmt w:val="decimal"/>
      <w:lvlText w:val=""/>
      <w:lvlJc w:val="left"/>
    </w:lvl>
    <w:lvl w:ilvl="6" w:tplc="851E64C0">
      <w:start w:val="1"/>
      <w:numFmt w:val="decimal"/>
      <w:lvlText w:val=""/>
      <w:lvlJc w:val="left"/>
    </w:lvl>
    <w:lvl w:ilvl="7" w:tplc="8A624512">
      <w:start w:val="1"/>
      <w:numFmt w:val="decimal"/>
      <w:lvlText w:val=""/>
      <w:lvlJc w:val="left"/>
    </w:lvl>
    <w:lvl w:ilvl="8" w:tplc="25C8F06E">
      <w:start w:val="1"/>
      <w:numFmt w:val="decimal"/>
      <w:lvlText w:val=""/>
      <w:lvlJc w:val="left"/>
    </w:lvl>
  </w:abstractNum>
  <w:abstractNum w:abstractNumId="3" w15:restartNumberingAfterBreak="0">
    <w:nsid w:val="47943940"/>
    <w:multiLevelType w:val="hybridMultilevel"/>
    <w:tmpl w:val="F6941834"/>
    <w:lvl w:ilvl="0" w:tplc="DF8C8BE4">
      <w:start w:val="1"/>
      <w:numFmt w:val="decimal"/>
      <w:lvlText w:val="%1."/>
      <w:lvlJc w:val="left"/>
    </w:lvl>
    <w:lvl w:ilvl="1" w:tplc="4756FE08">
      <w:start w:val="1"/>
      <w:numFmt w:val="decimal"/>
      <w:lvlText w:val=""/>
      <w:lvlJc w:val="left"/>
    </w:lvl>
    <w:lvl w:ilvl="2" w:tplc="3618C33A">
      <w:start w:val="1"/>
      <w:numFmt w:val="decimal"/>
      <w:lvlText w:val=""/>
      <w:lvlJc w:val="left"/>
    </w:lvl>
    <w:lvl w:ilvl="3" w:tplc="1CDEB7F6">
      <w:start w:val="1"/>
      <w:numFmt w:val="decimal"/>
      <w:lvlText w:val=""/>
      <w:lvlJc w:val="left"/>
    </w:lvl>
    <w:lvl w:ilvl="4" w:tplc="F3127AFA">
      <w:start w:val="1"/>
      <w:numFmt w:val="decimal"/>
      <w:lvlText w:val=""/>
      <w:lvlJc w:val="left"/>
    </w:lvl>
    <w:lvl w:ilvl="5" w:tplc="4412EC04">
      <w:start w:val="1"/>
      <w:numFmt w:val="decimal"/>
      <w:lvlText w:val=""/>
      <w:lvlJc w:val="left"/>
    </w:lvl>
    <w:lvl w:ilvl="6" w:tplc="EEB896C0">
      <w:start w:val="1"/>
      <w:numFmt w:val="decimal"/>
      <w:lvlText w:val=""/>
      <w:lvlJc w:val="left"/>
    </w:lvl>
    <w:lvl w:ilvl="7" w:tplc="F30010E4">
      <w:start w:val="1"/>
      <w:numFmt w:val="decimal"/>
      <w:lvlText w:val=""/>
      <w:lvlJc w:val="left"/>
    </w:lvl>
    <w:lvl w:ilvl="8" w:tplc="46524292">
      <w:start w:val="1"/>
      <w:numFmt w:val="decimal"/>
      <w:lvlText w:val=""/>
      <w:lvlJc w:val="left"/>
    </w:lvl>
  </w:abstractNum>
  <w:abstractNum w:abstractNumId="4" w15:restartNumberingAfterBreak="0">
    <w:nsid w:val="4D6309AE"/>
    <w:multiLevelType w:val="hybridMultilevel"/>
    <w:tmpl w:val="08421058"/>
    <w:lvl w:ilvl="0" w:tplc="4E8EF1F4">
      <w:start w:val="1"/>
      <w:numFmt w:val="decimal"/>
      <w:lvlText w:val="%1."/>
      <w:lvlJc w:val="left"/>
      <w:pPr>
        <w:ind w:left="720" w:hanging="360"/>
      </w:pPr>
    </w:lvl>
    <w:lvl w:ilvl="1" w:tplc="B684997A">
      <w:start w:val="1"/>
      <w:numFmt w:val="lowerLetter"/>
      <w:lvlText w:val="%2."/>
      <w:lvlJc w:val="left"/>
      <w:pPr>
        <w:ind w:left="1440" w:hanging="360"/>
      </w:pPr>
    </w:lvl>
    <w:lvl w:ilvl="2" w:tplc="7F681972">
      <w:start w:val="1"/>
      <w:numFmt w:val="lowerRoman"/>
      <w:lvlText w:val="%3."/>
      <w:lvlJc w:val="right"/>
      <w:pPr>
        <w:ind w:left="2160" w:hanging="180"/>
      </w:pPr>
    </w:lvl>
    <w:lvl w:ilvl="3" w:tplc="B2D62E56">
      <w:start w:val="1"/>
      <w:numFmt w:val="decimal"/>
      <w:lvlText w:val="%4."/>
      <w:lvlJc w:val="left"/>
      <w:pPr>
        <w:ind w:left="2880" w:hanging="360"/>
      </w:pPr>
    </w:lvl>
    <w:lvl w:ilvl="4" w:tplc="E77404CA">
      <w:start w:val="1"/>
      <w:numFmt w:val="lowerLetter"/>
      <w:lvlText w:val="%5."/>
      <w:lvlJc w:val="left"/>
      <w:pPr>
        <w:ind w:left="3600" w:hanging="360"/>
      </w:pPr>
    </w:lvl>
    <w:lvl w:ilvl="5" w:tplc="34B0950A">
      <w:start w:val="1"/>
      <w:numFmt w:val="lowerRoman"/>
      <w:lvlText w:val="%6."/>
      <w:lvlJc w:val="right"/>
      <w:pPr>
        <w:ind w:left="4320" w:hanging="180"/>
      </w:pPr>
    </w:lvl>
    <w:lvl w:ilvl="6" w:tplc="4148F4CA">
      <w:start w:val="1"/>
      <w:numFmt w:val="decimal"/>
      <w:lvlText w:val="%7."/>
      <w:lvlJc w:val="left"/>
      <w:pPr>
        <w:ind w:left="5040" w:hanging="360"/>
      </w:pPr>
    </w:lvl>
    <w:lvl w:ilvl="7" w:tplc="774AEE7A">
      <w:start w:val="1"/>
      <w:numFmt w:val="lowerLetter"/>
      <w:lvlText w:val="%8."/>
      <w:lvlJc w:val="left"/>
      <w:pPr>
        <w:ind w:left="5760" w:hanging="360"/>
      </w:pPr>
    </w:lvl>
    <w:lvl w:ilvl="8" w:tplc="52143308">
      <w:start w:val="1"/>
      <w:numFmt w:val="lowerRoman"/>
      <w:lvlText w:val="%9."/>
      <w:lvlJc w:val="right"/>
      <w:pPr>
        <w:ind w:left="6480" w:hanging="180"/>
      </w:pPr>
    </w:lvl>
  </w:abstractNum>
  <w:abstractNum w:abstractNumId="5" w15:restartNumberingAfterBreak="0">
    <w:nsid w:val="691107BC"/>
    <w:multiLevelType w:val="hybridMultilevel"/>
    <w:tmpl w:val="825A1C82"/>
    <w:lvl w:ilvl="0" w:tplc="137E2A6A">
      <w:start w:val="2"/>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B3D278D"/>
    <w:multiLevelType w:val="hybridMultilevel"/>
    <w:tmpl w:val="1AC42EAE"/>
    <w:lvl w:ilvl="0" w:tplc="45A40BBA">
      <w:start w:val="1"/>
      <w:numFmt w:val="bullet"/>
      <w:lvlText w:val=""/>
      <w:lvlJc w:val="left"/>
      <w:pPr>
        <w:tabs>
          <w:tab w:val="num" w:pos="720"/>
        </w:tabs>
        <w:ind w:left="720" w:hanging="360"/>
      </w:pPr>
      <w:rPr>
        <w:rFonts w:ascii="Symbol" w:hAnsi="Symbol" w:hint="default"/>
        <w:sz w:val="20"/>
      </w:rPr>
    </w:lvl>
    <w:lvl w:ilvl="1" w:tplc="55DAF9C0">
      <w:start w:val="1"/>
      <w:numFmt w:val="bullet"/>
      <w:lvlText w:val="o"/>
      <w:lvlJc w:val="left"/>
      <w:pPr>
        <w:tabs>
          <w:tab w:val="num" w:pos="1440"/>
        </w:tabs>
        <w:ind w:left="1440" w:hanging="360"/>
      </w:pPr>
      <w:rPr>
        <w:rFonts w:ascii="Courier New" w:hAnsi="Courier New" w:hint="default"/>
        <w:sz w:val="20"/>
      </w:rPr>
    </w:lvl>
    <w:lvl w:ilvl="2" w:tplc="01929056">
      <w:start w:val="1"/>
      <w:numFmt w:val="bullet"/>
      <w:lvlText w:val=""/>
      <w:lvlJc w:val="left"/>
      <w:pPr>
        <w:tabs>
          <w:tab w:val="num" w:pos="2160"/>
        </w:tabs>
        <w:ind w:left="2160" w:hanging="360"/>
      </w:pPr>
      <w:rPr>
        <w:rFonts w:ascii="Wingdings" w:hAnsi="Wingdings" w:hint="default"/>
        <w:sz w:val="20"/>
      </w:rPr>
    </w:lvl>
    <w:lvl w:ilvl="3" w:tplc="ADBEBE5C">
      <w:start w:val="1"/>
      <w:numFmt w:val="bullet"/>
      <w:lvlText w:val=""/>
      <w:lvlJc w:val="left"/>
      <w:pPr>
        <w:tabs>
          <w:tab w:val="num" w:pos="2880"/>
        </w:tabs>
        <w:ind w:left="2880" w:hanging="360"/>
      </w:pPr>
      <w:rPr>
        <w:rFonts w:ascii="Wingdings" w:hAnsi="Wingdings" w:hint="default"/>
        <w:sz w:val="20"/>
      </w:rPr>
    </w:lvl>
    <w:lvl w:ilvl="4" w:tplc="89BECCA6">
      <w:start w:val="1"/>
      <w:numFmt w:val="bullet"/>
      <w:lvlText w:val=""/>
      <w:lvlJc w:val="left"/>
      <w:pPr>
        <w:tabs>
          <w:tab w:val="num" w:pos="3600"/>
        </w:tabs>
        <w:ind w:left="3600" w:hanging="360"/>
      </w:pPr>
      <w:rPr>
        <w:rFonts w:ascii="Wingdings" w:hAnsi="Wingdings" w:hint="default"/>
        <w:sz w:val="20"/>
      </w:rPr>
    </w:lvl>
    <w:lvl w:ilvl="5" w:tplc="9C04D0A4">
      <w:start w:val="1"/>
      <w:numFmt w:val="bullet"/>
      <w:lvlText w:val=""/>
      <w:lvlJc w:val="left"/>
      <w:pPr>
        <w:tabs>
          <w:tab w:val="num" w:pos="4320"/>
        </w:tabs>
        <w:ind w:left="4320" w:hanging="360"/>
      </w:pPr>
      <w:rPr>
        <w:rFonts w:ascii="Wingdings" w:hAnsi="Wingdings" w:hint="default"/>
        <w:sz w:val="20"/>
      </w:rPr>
    </w:lvl>
    <w:lvl w:ilvl="6" w:tplc="A21A459C">
      <w:start w:val="1"/>
      <w:numFmt w:val="bullet"/>
      <w:lvlText w:val=""/>
      <w:lvlJc w:val="left"/>
      <w:pPr>
        <w:tabs>
          <w:tab w:val="num" w:pos="5040"/>
        </w:tabs>
        <w:ind w:left="5040" w:hanging="360"/>
      </w:pPr>
      <w:rPr>
        <w:rFonts w:ascii="Wingdings" w:hAnsi="Wingdings" w:hint="default"/>
        <w:sz w:val="20"/>
      </w:rPr>
    </w:lvl>
    <w:lvl w:ilvl="7" w:tplc="E7D6BCAC">
      <w:start w:val="1"/>
      <w:numFmt w:val="bullet"/>
      <w:lvlText w:val=""/>
      <w:lvlJc w:val="left"/>
      <w:pPr>
        <w:tabs>
          <w:tab w:val="num" w:pos="5760"/>
        </w:tabs>
        <w:ind w:left="5760" w:hanging="360"/>
      </w:pPr>
      <w:rPr>
        <w:rFonts w:ascii="Wingdings" w:hAnsi="Wingdings" w:hint="default"/>
        <w:sz w:val="20"/>
      </w:rPr>
    </w:lvl>
    <w:lvl w:ilvl="8" w:tplc="9D06780E">
      <w:start w:val="1"/>
      <w:numFmt w:val="bullet"/>
      <w:lvlText w:val=""/>
      <w:lvlJc w:val="left"/>
      <w:pPr>
        <w:tabs>
          <w:tab w:val="num" w:pos="6480"/>
        </w:tabs>
        <w:ind w:left="6480" w:hanging="360"/>
      </w:pPr>
      <w:rPr>
        <w:rFonts w:ascii="Wingdings" w:hAnsi="Wingdings" w:hint="default"/>
        <w:sz w:val="20"/>
      </w:rPr>
    </w:lvl>
  </w:abstractNum>
  <w:num w:numId="1" w16cid:durableId="478232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85348">
    <w:abstractNumId w:val="6"/>
  </w:num>
  <w:num w:numId="3" w16cid:durableId="1431779809">
    <w:abstractNumId w:val="3"/>
  </w:num>
  <w:num w:numId="4" w16cid:durableId="1613053405">
    <w:abstractNumId w:val="2"/>
  </w:num>
  <w:num w:numId="5" w16cid:durableId="2104758205">
    <w:abstractNumId w:val="5"/>
  </w:num>
  <w:num w:numId="6" w16cid:durableId="1380939668">
    <w:abstractNumId w:val="0"/>
  </w:num>
  <w:num w:numId="7" w16cid:durableId="208958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4C"/>
    <w:rsid w:val="00016493"/>
    <w:rsid w:val="00064531"/>
    <w:rsid w:val="000D310A"/>
    <w:rsid w:val="00197A28"/>
    <w:rsid w:val="001E28D1"/>
    <w:rsid w:val="001F53AF"/>
    <w:rsid w:val="002230AD"/>
    <w:rsid w:val="00251913"/>
    <w:rsid w:val="002566FD"/>
    <w:rsid w:val="002A0204"/>
    <w:rsid w:val="002A4C32"/>
    <w:rsid w:val="002B7C80"/>
    <w:rsid w:val="002D23DB"/>
    <w:rsid w:val="002D639C"/>
    <w:rsid w:val="002E2C8F"/>
    <w:rsid w:val="00311AB5"/>
    <w:rsid w:val="00325197"/>
    <w:rsid w:val="00335BCA"/>
    <w:rsid w:val="00337E8A"/>
    <w:rsid w:val="003559C8"/>
    <w:rsid w:val="00360EF6"/>
    <w:rsid w:val="003F7E02"/>
    <w:rsid w:val="004311A9"/>
    <w:rsid w:val="00432CDE"/>
    <w:rsid w:val="00444C0A"/>
    <w:rsid w:val="00446ABE"/>
    <w:rsid w:val="00454645"/>
    <w:rsid w:val="0045600F"/>
    <w:rsid w:val="00492B5F"/>
    <w:rsid w:val="004E702B"/>
    <w:rsid w:val="00532098"/>
    <w:rsid w:val="0056060E"/>
    <w:rsid w:val="005629C3"/>
    <w:rsid w:val="00580E4A"/>
    <w:rsid w:val="00590C7C"/>
    <w:rsid w:val="00625DCD"/>
    <w:rsid w:val="006323FF"/>
    <w:rsid w:val="00661208"/>
    <w:rsid w:val="00671017"/>
    <w:rsid w:val="006B651C"/>
    <w:rsid w:val="006C1877"/>
    <w:rsid w:val="006E748B"/>
    <w:rsid w:val="006F50B4"/>
    <w:rsid w:val="00704FE7"/>
    <w:rsid w:val="007141BE"/>
    <w:rsid w:val="00731446"/>
    <w:rsid w:val="007B288C"/>
    <w:rsid w:val="007B374C"/>
    <w:rsid w:val="007F6CFE"/>
    <w:rsid w:val="00873855"/>
    <w:rsid w:val="008C2123"/>
    <w:rsid w:val="008C4917"/>
    <w:rsid w:val="009162FC"/>
    <w:rsid w:val="009A2ACB"/>
    <w:rsid w:val="009C7261"/>
    <w:rsid w:val="00A57652"/>
    <w:rsid w:val="00A803D7"/>
    <w:rsid w:val="00A826C5"/>
    <w:rsid w:val="00A84F2C"/>
    <w:rsid w:val="00A95834"/>
    <w:rsid w:val="00AA5605"/>
    <w:rsid w:val="00AA7678"/>
    <w:rsid w:val="00AB31CA"/>
    <w:rsid w:val="00AC5009"/>
    <w:rsid w:val="00AD174F"/>
    <w:rsid w:val="00AD615B"/>
    <w:rsid w:val="00AF1C5A"/>
    <w:rsid w:val="00B07C0A"/>
    <w:rsid w:val="00B26563"/>
    <w:rsid w:val="00B712FE"/>
    <w:rsid w:val="00C025F6"/>
    <w:rsid w:val="00C16642"/>
    <w:rsid w:val="00C35876"/>
    <w:rsid w:val="00C51967"/>
    <w:rsid w:val="00C95672"/>
    <w:rsid w:val="00D07C03"/>
    <w:rsid w:val="00D11990"/>
    <w:rsid w:val="00D23E90"/>
    <w:rsid w:val="00D4526D"/>
    <w:rsid w:val="00D725F3"/>
    <w:rsid w:val="00D902E1"/>
    <w:rsid w:val="00DA418F"/>
    <w:rsid w:val="00E33BD8"/>
    <w:rsid w:val="00E42A2A"/>
    <w:rsid w:val="00E6246C"/>
    <w:rsid w:val="00E86F27"/>
    <w:rsid w:val="00EC3C47"/>
    <w:rsid w:val="00F424CB"/>
    <w:rsid w:val="00F55FD0"/>
    <w:rsid w:val="00F93BEF"/>
    <w:rsid w:val="00FD0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803F"/>
  <w15:docId w15:val="{B7432506-BCE5-42D0-A306-B2614C83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qFormat/>
    <w:pPr>
      <w:keepNext/>
      <w:tabs>
        <w:tab w:val="left" w:pos="1320"/>
        <w:tab w:val="left" w:pos="2760"/>
        <w:tab w:val="left" w:pos="4200"/>
      </w:tabs>
      <w:jc w:val="center"/>
      <w:outlineLvl w:val="1"/>
    </w:pPr>
    <w:rPr>
      <w:rFonts w:ascii="CG Times" w:hAnsi="CG Times"/>
      <w:b/>
      <w:spacing w:val="-6"/>
      <w:sz w:val="32"/>
      <w:szCs w:val="20"/>
      <w:lang w:eastAsia="en-US"/>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styleId="TableGrid">
    <w:name w:val="Table Grid"/>
    <w:basedOn w:val="TableNormal"/>
    <w:uiPriority w:val="59"/>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rPr>
      <w:rFonts w:ascii="CG Times" w:eastAsia="Times New Roman" w:hAnsi="CG Times" w:cs="Times New Roman"/>
      <w:b/>
      <w:spacing w:val="-6"/>
      <w:sz w:val="32"/>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hr-HR"/>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eastAsia="hr-HR"/>
    </w:rPr>
  </w:style>
  <w:style w:type="paragraph" w:styleId="Revision">
    <w:name w:val="Revision"/>
    <w:hidden/>
    <w:uiPriority w:val="99"/>
    <w:semiHidden/>
    <w:rsid w:val="00311AB5"/>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6E748B"/>
    <w:pPr>
      <w:spacing w:before="100" w:beforeAutospacing="1" w:after="100" w:afterAutospacing="1"/>
    </w:pPr>
    <w:rPr>
      <w:lang w:eastAsia="en-US"/>
    </w:rPr>
  </w:style>
  <w:style w:type="character" w:styleId="Strong">
    <w:name w:val="Strong"/>
    <w:basedOn w:val="DefaultParagraphFont"/>
    <w:uiPriority w:val="22"/>
    <w:qFormat/>
    <w:rsid w:val="006E748B"/>
    <w:rPr>
      <w:b/>
      <w:bCs/>
    </w:rPr>
  </w:style>
  <w:style w:type="character" w:styleId="CommentReference">
    <w:name w:val="annotation reference"/>
    <w:basedOn w:val="DefaultParagraphFont"/>
    <w:uiPriority w:val="99"/>
    <w:semiHidden/>
    <w:unhideWhenUsed/>
    <w:rsid w:val="00590C7C"/>
    <w:rPr>
      <w:sz w:val="16"/>
      <w:szCs w:val="16"/>
    </w:rPr>
  </w:style>
  <w:style w:type="paragraph" w:styleId="CommentText">
    <w:name w:val="annotation text"/>
    <w:basedOn w:val="Normal"/>
    <w:link w:val="CommentTextChar"/>
    <w:uiPriority w:val="99"/>
    <w:semiHidden/>
    <w:unhideWhenUsed/>
    <w:rsid w:val="00590C7C"/>
    <w:rPr>
      <w:sz w:val="20"/>
      <w:szCs w:val="20"/>
    </w:rPr>
  </w:style>
  <w:style w:type="character" w:customStyle="1" w:styleId="CommentTextChar">
    <w:name w:val="Comment Text Char"/>
    <w:basedOn w:val="DefaultParagraphFont"/>
    <w:link w:val="CommentText"/>
    <w:uiPriority w:val="99"/>
    <w:semiHidden/>
    <w:rsid w:val="00590C7C"/>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590C7C"/>
    <w:rPr>
      <w:b/>
      <w:bCs/>
    </w:rPr>
  </w:style>
  <w:style w:type="character" w:customStyle="1" w:styleId="CommentSubjectChar">
    <w:name w:val="Comment Subject Char"/>
    <w:basedOn w:val="CommentTextChar"/>
    <w:link w:val="CommentSubject"/>
    <w:uiPriority w:val="99"/>
    <w:semiHidden/>
    <w:rsid w:val="00590C7C"/>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590C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C7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
      <w:bodyDiv w:val="1"/>
      <w:marLeft w:val="0"/>
      <w:marRight w:val="0"/>
      <w:marTop w:val="0"/>
      <w:marBottom w:val="0"/>
      <w:divBdr>
        <w:top w:val="none" w:sz="0" w:space="0" w:color="auto"/>
        <w:left w:val="none" w:sz="0" w:space="0" w:color="auto"/>
        <w:bottom w:val="none" w:sz="0" w:space="0" w:color="auto"/>
        <w:right w:val="none" w:sz="0" w:space="0" w:color="auto"/>
      </w:divBdr>
    </w:div>
    <w:div w:id="148790278">
      <w:bodyDiv w:val="1"/>
      <w:marLeft w:val="0"/>
      <w:marRight w:val="0"/>
      <w:marTop w:val="0"/>
      <w:marBottom w:val="0"/>
      <w:divBdr>
        <w:top w:val="none" w:sz="0" w:space="0" w:color="auto"/>
        <w:left w:val="none" w:sz="0" w:space="0" w:color="auto"/>
        <w:bottom w:val="none" w:sz="0" w:space="0" w:color="auto"/>
        <w:right w:val="none" w:sz="0" w:space="0" w:color="auto"/>
      </w:divBdr>
    </w:div>
    <w:div w:id="445857718">
      <w:bodyDiv w:val="1"/>
      <w:marLeft w:val="0"/>
      <w:marRight w:val="0"/>
      <w:marTop w:val="0"/>
      <w:marBottom w:val="0"/>
      <w:divBdr>
        <w:top w:val="none" w:sz="0" w:space="0" w:color="auto"/>
        <w:left w:val="none" w:sz="0" w:space="0" w:color="auto"/>
        <w:bottom w:val="none" w:sz="0" w:space="0" w:color="auto"/>
        <w:right w:val="none" w:sz="0" w:space="0" w:color="auto"/>
      </w:divBdr>
    </w:div>
    <w:div w:id="544291525">
      <w:bodyDiv w:val="1"/>
      <w:marLeft w:val="0"/>
      <w:marRight w:val="0"/>
      <w:marTop w:val="0"/>
      <w:marBottom w:val="0"/>
      <w:divBdr>
        <w:top w:val="none" w:sz="0" w:space="0" w:color="auto"/>
        <w:left w:val="none" w:sz="0" w:space="0" w:color="auto"/>
        <w:bottom w:val="none" w:sz="0" w:space="0" w:color="auto"/>
        <w:right w:val="none" w:sz="0" w:space="0" w:color="auto"/>
      </w:divBdr>
    </w:div>
    <w:div w:id="602300523">
      <w:bodyDiv w:val="1"/>
      <w:marLeft w:val="0"/>
      <w:marRight w:val="0"/>
      <w:marTop w:val="0"/>
      <w:marBottom w:val="0"/>
      <w:divBdr>
        <w:top w:val="none" w:sz="0" w:space="0" w:color="auto"/>
        <w:left w:val="none" w:sz="0" w:space="0" w:color="auto"/>
        <w:bottom w:val="none" w:sz="0" w:space="0" w:color="auto"/>
        <w:right w:val="none" w:sz="0" w:space="0" w:color="auto"/>
      </w:divBdr>
    </w:div>
    <w:div w:id="774642544">
      <w:bodyDiv w:val="1"/>
      <w:marLeft w:val="0"/>
      <w:marRight w:val="0"/>
      <w:marTop w:val="0"/>
      <w:marBottom w:val="0"/>
      <w:divBdr>
        <w:top w:val="none" w:sz="0" w:space="0" w:color="auto"/>
        <w:left w:val="none" w:sz="0" w:space="0" w:color="auto"/>
        <w:bottom w:val="none" w:sz="0" w:space="0" w:color="auto"/>
        <w:right w:val="none" w:sz="0" w:space="0" w:color="auto"/>
      </w:divBdr>
    </w:div>
    <w:div w:id="999305384">
      <w:bodyDiv w:val="1"/>
      <w:marLeft w:val="0"/>
      <w:marRight w:val="0"/>
      <w:marTop w:val="0"/>
      <w:marBottom w:val="0"/>
      <w:divBdr>
        <w:top w:val="none" w:sz="0" w:space="0" w:color="auto"/>
        <w:left w:val="none" w:sz="0" w:space="0" w:color="auto"/>
        <w:bottom w:val="none" w:sz="0" w:space="0" w:color="auto"/>
        <w:right w:val="none" w:sz="0" w:space="0" w:color="auto"/>
      </w:divBdr>
    </w:div>
    <w:div w:id="1075276556">
      <w:bodyDiv w:val="1"/>
      <w:marLeft w:val="0"/>
      <w:marRight w:val="0"/>
      <w:marTop w:val="0"/>
      <w:marBottom w:val="0"/>
      <w:divBdr>
        <w:top w:val="none" w:sz="0" w:space="0" w:color="auto"/>
        <w:left w:val="none" w:sz="0" w:space="0" w:color="auto"/>
        <w:bottom w:val="none" w:sz="0" w:space="0" w:color="auto"/>
        <w:right w:val="none" w:sz="0" w:space="0" w:color="auto"/>
      </w:divBdr>
    </w:div>
    <w:div w:id="1155419339">
      <w:bodyDiv w:val="1"/>
      <w:marLeft w:val="0"/>
      <w:marRight w:val="0"/>
      <w:marTop w:val="0"/>
      <w:marBottom w:val="0"/>
      <w:divBdr>
        <w:top w:val="none" w:sz="0" w:space="0" w:color="auto"/>
        <w:left w:val="none" w:sz="0" w:space="0" w:color="auto"/>
        <w:bottom w:val="none" w:sz="0" w:space="0" w:color="auto"/>
        <w:right w:val="none" w:sz="0" w:space="0" w:color="auto"/>
      </w:divBdr>
    </w:div>
    <w:div w:id="1184171528">
      <w:bodyDiv w:val="1"/>
      <w:marLeft w:val="0"/>
      <w:marRight w:val="0"/>
      <w:marTop w:val="0"/>
      <w:marBottom w:val="0"/>
      <w:divBdr>
        <w:top w:val="none" w:sz="0" w:space="0" w:color="auto"/>
        <w:left w:val="none" w:sz="0" w:space="0" w:color="auto"/>
        <w:bottom w:val="none" w:sz="0" w:space="0" w:color="auto"/>
        <w:right w:val="none" w:sz="0" w:space="0" w:color="auto"/>
      </w:divBdr>
    </w:div>
    <w:div w:id="1292515433">
      <w:bodyDiv w:val="1"/>
      <w:marLeft w:val="0"/>
      <w:marRight w:val="0"/>
      <w:marTop w:val="0"/>
      <w:marBottom w:val="0"/>
      <w:divBdr>
        <w:top w:val="none" w:sz="0" w:space="0" w:color="auto"/>
        <w:left w:val="none" w:sz="0" w:space="0" w:color="auto"/>
        <w:bottom w:val="none" w:sz="0" w:space="0" w:color="auto"/>
        <w:right w:val="none" w:sz="0" w:space="0" w:color="auto"/>
      </w:divBdr>
    </w:div>
    <w:div w:id="1366521352">
      <w:bodyDiv w:val="1"/>
      <w:marLeft w:val="0"/>
      <w:marRight w:val="0"/>
      <w:marTop w:val="0"/>
      <w:marBottom w:val="0"/>
      <w:divBdr>
        <w:top w:val="none" w:sz="0" w:space="0" w:color="auto"/>
        <w:left w:val="none" w:sz="0" w:space="0" w:color="auto"/>
        <w:bottom w:val="none" w:sz="0" w:space="0" w:color="auto"/>
        <w:right w:val="none" w:sz="0" w:space="0" w:color="auto"/>
      </w:divBdr>
    </w:div>
    <w:div w:id="1594584021">
      <w:bodyDiv w:val="1"/>
      <w:marLeft w:val="0"/>
      <w:marRight w:val="0"/>
      <w:marTop w:val="0"/>
      <w:marBottom w:val="0"/>
      <w:divBdr>
        <w:top w:val="none" w:sz="0" w:space="0" w:color="auto"/>
        <w:left w:val="none" w:sz="0" w:space="0" w:color="auto"/>
        <w:bottom w:val="none" w:sz="0" w:space="0" w:color="auto"/>
        <w:right w:val="none" w:sz="0" w:space="0" w:color="auto"/>
      </w:divBdr>
    </w:div>
    <w:div w:id="170872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avko.micevski@piu.mtc.gov.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rlsand.esvalabs.com/?u=http%3A%2F%2Fwww.mtc.gov.mk%2F&amp;e=1c203a69&amp;h=abbff2f3&amp;f=y&amp;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163A6-41C3-4418-B40B-42A40BEB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Slavko Micevski</cp:lastModifiedBy>
  <cp:revision>2</cp:revision>
  <dcterms:created xsi:type="dcterms:W3CDTF">2025-07-17T07:15:00Z</dcterms:created>
  <dcterms:modified xsi:type="dcterms:W3CDTF">2025-07-17T07:15:00Z</dcterms:modified>
</cp:coreProperties>
</file>